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710"/>
        </w:tabs>
        <w:rPr>
          <w:rFonts w:ascii="Arial" w:hAnsi="Arial" w:cs="Arial"/>
          <w:color w:val="auto"/>
          <w:highlight w:val="none"/>
        </w:rPr>
      </w:pPr>
      <w:bookmarkStart w:id="0" w:name="_Toc217446030"/>
      <w:bookmarkStart w:id="1" w:name="_Toc183682338"/>
      <w:r>
        <w:rPr>
          <w:rFonts w:ascii="Arial" w:hAnsi="Arial" w:cs="Arial"/>
          <w:color w:val="auto"/>
          <w:highlight w:val="none"/>
        </w:rPr>
        <w:t xml:space="preserve"> </w:t>
      </w:r>
    </w:p>
    <w:p>
      <w:pPr>
        <w:tabs>
          <w:tab w:val="left" w:pos="1710"/>
        </w:tabs>
        <w:rPr>
          <w:rFonts w:ascii="Arial" w:hAnsi="Arial" w:cs="Arial"/>
          <w:color w:val="auto"/>
          <w:highlight w:val="none"/>
        </w:rPr>
      </w:pPr>
    </w:p>
    <w:p>
      <w:pPr>
        <w:tabs>
          <w:tab w:val="left" w:pos="1710"/>
        </w:tabs>
        <w:rPr>
          <w:rFonts w:ascii="Arial" w:hAnsi="Arial" w:cs="Arial"/>
          <w:color w:val="auto"/>
          <w:highlight w:val="none"/>
        </w:rPr>
      </w:pPr>
    </w:p>
    <w:p>
      <w:pPr>
        <w:tabs>
          <w:tab w:val="left" w:pos="1710"/>
        </w:tabs>
        <w:rPr>
          <w:rFonts w:ascii="Arial" w:hAnsi="Arial" w:cs="Arial"/>
          <w:color w:val="auto"/>
          <w:highlight w:val="none"/>
        </w:rPr>
      </w:pPr>
    </w:p>
    <w:p>
      <w:pPr>
        <w:tabs>
          <w:tab w:val="left" w:pos="1710"/>
        </w:tabs>
        <w:rPr>
          <w:rFonts w:ascii="Arial" w:hAnsi="Arial" w:cs="Arial"/>
          <w:color w:val="auto"/>
          <w:highlight w:val="none"/>
        </w:rPr>
      </w:pPr>
    </w:p>
    <w:p>
      <w:pPr>
        <w:tabs>
          <w:tab w:val="left" w:pos="1710"/>
        </w:tabs>
        <w:rPr>
          <w:rFonts w:ascii="Arial" w:hAnsi="Arial" w:cs="Arial"/>
          <w:color w:val="auto"/>
          <w:highlight w:val="none"/>
        </w:rPr>
      </w:pP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4"/>
        <w:gridCol w:w="6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8139" w:type="dxa"/>
            <w:gridSpan w:val="2"/>
            <w:tcBorders>
              <w:top w:val="nil"/>
              <w:left w:val="nil"/>
              <w:right w:val="nil"/>
            </w:tcBorders>
            <w:noWrap w:val="0"/>
            <w:vAlign w:val="top"/>
          </w:tcPr>
          <w:p>
            <w:pPr>
              <w:keepNext w:val="0"/>
              <w:keepLines w:val="0"/>
              <w:suppressLineNumbers w:val="0"/>
              <w:snapToGrid w:val="0"/>
              <w:spacing w:before="0" w:beforeAutospacing="0" w:after="0" w:afterAutospacing="0" w:line="240" w:lineRule="atLeast"/>
              <w:ind w:left="0" w:right="0"/>
              <w:jc w:val="center"/>
              <w:rPr>
                <w:rFonts w:ascii="Arial" w:hAnsi="Arial" w:eastAsia="宋体" w:cs="Arial"/>
                <w:b/>
                <w:color w:val="auto"/>
                <w:sz w:val="60"/>
                <w:szCs w:val="60"/>
                <w:highlight w:val="none"/>
              </w:rPr>
            </w:pPr>
            <w:r>
              <w:rPr>
                <w:rFonts w:ascii="Arial" w:hAnsi="Arial" w:eastAsia="宋体" w:cs="Arial"/>
                <w:b/>
                <w:color w:val="auto"/>
                <w:sz w:val="60"/>
                <w:szCs w:val="60"/>
                <w:highlight w:val="none"/>
              </w:rPr>
              <w:t>磋 商 文 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764" w:type="dxa"/>
            <w:noWrap w:val="0"/>
            <w:vAlign w:val="center"/>
          </w:tcPr>
          <w:p>
            <w:pPr>
              <w:keepNext w:val="0"/>
              <w:keepLines w:val="0"/>
              <w:suppressLineNumbers w:val="0"/>
              <w:spacing w:before="0" w:beforeAutospacing="0" w:after="0" w:afterAutospacing="0"/>
              <w:ind w:left="0" w:right="0"/>
              <w:rPr>
                <w:rFonts w:ascii="Arial" w:hAnsi="Arial" w:eastAsia="宋体" w:cs="Arial"/>
                <w:b/>
                <w:color w:val="auto"/>
                <w:sz w:val="32"/>
                <w:szCs w:val="32"/>
                <w:highlight w:val="none"/>
              </w:rPr>
            </w:pPr>
            <w:r>
              <w:rPr>
                <w:rFonts w:ascii="Arial" w:hAnsi="Arial" w:eastAsia="宋体" w:cs="Arial"/>
                <w:b/>
                <w:color w:val="auto"/>
                <w:sz w:val="32"/>
                <w:szCs w:val="32"/>
                <w:highlight w:val="none"/>
              </w:rPr>
              <w:t>项目编号：</w:t>
            </w:r>
          </w:p>
        </w:tc>
        <w:tc>
          <w:tcPr>
            <w:tcW w:w="6375" w:type="dxa"/>
            <w:noWrap w:val="0"/>
            <w:vAlign w:val="center"/>
          </w:tcPr>
          <w:p>
            <w:pPr>
              <w:keepNext w:val="0"/>
              <w:keepLines w:val="0"/>
              <w:suppressLineNumbers w:val="0"/>
              <w:spacing w:before="0" w:beforeAutospacing="0" w:after="0" w:afterAutospacing="0"/>
              <w:ind w:left="0" w:right="0"/>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t>GXJD-25133CC030940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1764" w:type="dxa"/>
            <w:noWrap w:val="0"/>
            <w:vAlign w:val="center"/>
          </w:tcPr>
          <w:p>
            <w:pPr>
              <w:keepNext w:val="0"/>
              <w:keepLines w:val="0"/>
              <w:suppressLineNumbers w:val="0"/>
              <w:spacing w:before="0" w:beforeAutospacing="0" w:after="0" w:afterAutospacing="0"/>
              <w:ind w:left="0" w:right="0"/>
              <w:rPr>
                <w:rFonts w:ascii="Arial" w:hAnsi="Arial" w:eastAsia="宋体" w:cs="Arial"/>
                <w:b/>
                <w:color w:val="auto"/>
                <w:sz w:val="32"/>
                <w:szCs w:val="32"/>
                <w:highlight w:val="none"/>
              </w:rPr>
            </w:pPr>
            <w:r>
              <w:rPr>
                <w:rFonts w:ascii="Arial" w:hAnsi="Arial" w:eastAsia="宋体" w:cs="Arial"/>
                <w:b/>
                <w:color w:val="auto"/>
                <w:sz w:val="32"/>
                <w:szCs w:val="32"/>
                <w:highlight w:val="none"/>
              </w:rPr>
              <w:t>项目名称：</w:t>
            </w:r>
          </w:p>
        </w:tc>
        <w:tc>
          <w:tcPr>
            <w:tcW w:w="6375" w:type="dxa"/>
            <w:noWrap w:val="0"/>
            <w:vAlign w:val="center"/>
          </w:tcPr>
          <w:p>
            <w:pPr>
              <w:keepNext w:val="0"/>
              <w:keepLines w:val="0"/>
              <w:suppressLineNumbers w:val="0"/>
              <w:spacing w:before="0" w:beforeAutospacing="0" w:after="0" w:afterAutospacing="0"/>
              <w:ind w:left="0" w:right="0"/>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t>灵川县中医医院中药饮片代煎服务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764" w:type="dxa"/>
            <w:noWrap w:val="0"/>
            <w:vAlign w:val="center"/>
          </w:tcPr>
          <w:p>
            <w:pPr>
              <w:keepNext w:val="0"/>
              <w:keepLines w:val="0"/>
              <w:suppressLineNumbers w:val="0"/>
              <w:spacing w:before="0" w:beforeAutospacing="0" w:after="0" w:afterAutospacing="0"/>
              <w:ind w:left="0" w:right="0"/>
              <w:rPr>
                <w:rFonts w:ascii="Arial" w:hAnsi="Arial" w:eastAsia="宋体" w:cs="Arial"/>
                <w:b/>
                <w:color w:val="auto"/>
                <w:sz w:val="32"/>
                <w:szCs w:val="32"/>
                <w:highlight w:val="none"/>
              </w:rPr>
            </w:pPr>
            <w:r>
              <w:rPr>
                <w:rFonts w:ascii="Arial" w:hAnsi="Arial" w:eastAsia="宋体" w:cs="Arial"/>
                <w:b/>
                <w:color w:val="auto"/>
                <w:sz w:val="32"/>
                <w:szCs w:val="32"/>
                <w:highlight w:val="none"/>
              </w:rPr>
              <w:t>联系电话：</w:t>
            </w:r>
          </w:p>
        </w:tc>
        <w:tc>
          <w:tcPr>
            <w:tcW w:w="6375" w:type="dxa"/>
            <w:noWrap w:val="0"/>
            <w:vAlign w:val="center"/>
          </w:tcPr>
          <w:p>
            <w:pPr>
              <w:keepNext w:val="0"/>
              <w:keepLines w:val="0"/>
              <w:suppressLineNumbers w:val="0"/>
              <w:spacing w:before="0" w:beforeAutospacing="0" w:after="0" w:afterAutospacing="0"/>
              <w:ind w:left="0" w:right="0"/>
              <w:rPr>
                <w:rFonts w:ascii="Arial" w:hAnsi="Arial" w:eastAsia="宋体" w:cs="Arial"/>
                <w:b/>
                <w:color w:val="auto"/>
                <w:sz w:val="32"/>
                <w:szCs w:val="32"/>
                <w:highlight w:val="none"/>
              </w:rPr>
            </w:pPr>
            <w:r>
              <w:rPr>
                <w:rFonts w:ascii="Arial" w:hAnsi="Arial" w:eastAsia="宋体" w:cs="Arial"/>
                <w:b/>
                <w:color w:val="auto"/>
                <w:sz w:val="32"/>
                <w:szCs w:val="32"/>
                <w:highlight w:val="none"/>
              </w:rPr>
              <w:t>0773-3696789</w:t>
            </w:r>
            <w:r>
              <w:rPr>
                <w:rFonts w:hint="eastAsia" w:ascii="Arial" w:hAnsi="Arial" w:eastAsia="宋体" w:cs="Arial"/>
                <w:b/>
                <w:color w:val="auto"/>
                <w:sz w:val="32"/>
                <w:szCs w:val="32"/>
                <w:highlight w:val="none"/>
              </w:rPr>
              <w:t>转2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764" w:type="dxa"/>
            <w:tcBorders>
              <w:bottom w:val="single" w:color="auto" w:sz="4" w:space="0"/>
            </w:tcBorders>
            <w:noWrap w:val="0"/>
            <w:vAlign w:val="center"/>
          </w:tcPr>
          <w:p>
            <w:pPr>
              <w:keepNext w:val="0"/>
              <w:keepLines w:val="0"/>
              <w:suppressLineNumbers w:val="0"/>
              <w:spacing w:before="0" w:beforeAutospacing="0" w:after="0" w:afterAutospacing="0"/>
              <w:ind w:left="0" w:right="0"/>
              <w:rPr>
                <w:rFonts w:ascii="Arial" w:hAnsi="Arial" w:eastAsia="宋体" w:cs="Arial"/>
                <w:b/>
                <w:color w:val="auto"/>
                <w:sz w:val="32"/>
                <w:szCs w:val="32"/>
                <w:highlight w:val="none"/>
              </w:rPr>
            </w:pPr>
            <w:r>
              <w:rPr>
                <w:rFonts w:ascii="Arial" w:hAnsi="Arial" w:eastAsia="宋体" w:cs="Arial"/>
                <w:b/>
                <w:color w:val="auto"/>
                <w:sz w:val="32"/>
                <w:szCs w:val="32"/>
                <w:highlight w:val="none"/>
              </w:rPr>
              <w:t>传    真：</w:t>
            </w:r>
          </w:p>
        </w:tc>
        <w:tc>
          <w:tcPr>
            <w:tcW w:w="6375" w:type="dxa"/>
            <w:tcBorders>
              <w:bottom w:val="single" w:color="auto" w:sz="4" w:space="0"/>
            </w:tcBorders>
            <w:noWrap w:val="0"/>
            <w:vAlign w:val="center"/>
          </w:tcPr>
          <w:p>
            <w:pPr>
              <w:keepNext w:val="0"/>
              <w:keepLines w:val="0"/>
              <w:suppressLineNumbers w:val="0"/>
              <w:spacing w:before="0" w:beforeAutospacing="0" w:after="0" w:afterAutospacing="0"/>
              <w:ind w:left="0" w:right="0"/>
              <w:rPr>
                <w:rFonts w:ascii="Arial" w:hAnsi="Arial" w:eastAsia="宋体" w:cs="Arial"/>
                <w:b/>
                <w:color w:val="auto"/>
                <w:sz w:val="32"/>
                <w:szCs w:val="32"/>
                <w:highlight w:val="none"/>
              </w:rPr>
            </w:pPr>
            <w:r>
              <w:rPr>
                <w:rFonts w:ascii="Arial" w:hAnsi="Arial" w:eastAsia="宋体" w:cs="Arial"/>
                <w:b/>
                <w:color w:val="auto"/>
                <w:sz w:val="32"/>
                <w:szCs w:val="32"/>
                <w:highlight w:val="none"/>
              </w:rPr>
              <w:t>0773-3602333</w:t>
            </w:r>
          </w:p>
        </w:tc>
      </w:tr>
    </w:tbl>
    <w:p>
      <w:pPr>
        <w:tabs>
          <w:tab w:val="left" w:pos="1710"/>
        </w:tabs>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tbl>
      <w:tblPr>
        <w:tblStyle w:val="58"/>
        <w:tblW w:w="0" w:type="auto"/>
        <w:jc w:val="center"/>
        <w:tblLayout w:type="fixed"/>
        <w:tblCellMar>
          <w:top w:w="0" w:type="dxa"/>
          <w:left w:w="108" w:type="dxa"/>
          <w:bottom w:w="0" w:type="dxa"/>
          <w:right w:w="108" w:type="dxa"/>
        </w:tblCellMar>
      </w:tblPr>
      <w:tblGrid>
        <w:gridCol w:w="2707"/>
        <w:gridCol w:w="6"/>
        <w:gridCol w:w="5571"/>
      </w:tblGrid>
      <w:tr>
        <w:tblPrEx>
          <w:tblCellMar>
            <w:top w:w="0" w:type="dxa"/>
            <w:left w:w="108" w:type="dxa"/>
            <w:bottom w:w="0" w:type="dxa"/>
            <w:right w:w="108" w:type="dxa"/>
          </w:tblCellMar>
        </w:tblPrEx>
        <w:trPr>
          <w:trHeight w:val="703" w:hRule="atLeast"/>
          <w:jc w:val="center"/>
        </w:trPr>
        <w:tc>
          <w:tcPr>
            <w:tcW w:w="2707" w:type="dxa"/>
            <w:noWrap w:val="0"/>
            <w:vAlign w:val="center"/>
          </w:tcPr>
          <w:p>
            <w:pPr>
              <w:keepNext w:val="0"/>
              <w:keepLines w:val="0"/>
              <w:suppressLineNumbers w:val="0"/>
              <w:autoSpaceDE w:val="0"/>
              <w:autoSpaceDN w:val="0"/>
              <w:adjustRightInd w:val="0"/>
              <w:spacing w:before="0" w:beforeAutospacing="0" w:after="0" w:afterAutospacing="0"/>
              <w:ind w:left="0" w:right="0"/>
              <w:jc w:val="right"/>
              <w:rPr>
                <w:rFonts w:ascii="Arial" w:hAnsi="Arial" w:eastAsia="宋体" w:cs="Arial"/>
                <w:b/>
                <w:color w:val="auto"/>
                <w:sz w:val="32"/>
                <w:szCs w:val="32"/>
                <w:highlight w:val="none"/>
              </w:rPr>
            </w:pPr>
            <w:r>
              <w:rPr>
                <w:rFonts w:ascii="Arial" w:hAnsi="Arial" w:eastAsia="宋体" w:cs="Arial"/>
                <w:b/>
                <w:color w:val="auto"/>
                <w:sz w:val="32"/>
                <w:szCs w:val="32"/>
                <w:highlight w:val="none"/>
              </w:rPr>
              <w:t xml:space="preserve">  采购人：</w:t>
            </w:r>
          </w:p>
        </w:tc>
        <w:tc>
          <w:tcPr>
            <w:tcW w:w="5577" w:type="dxa"/>
            <w:gridSpan w:val="2"/>
            <w:noWrap w:val="0"/>
            <w:vAlign w:val="center"/>
          </w:tcPr>
          <w:p>
            <w:pPr>
              <w:keepNext w:val="0"/>
              <w:keepLines w:val="0"/>
              <w:suppressLineNumbers w:val="0"/>
              <w:autoSpaceDE w:val="0"/>
              <w:autoSpaceDN w:val="0"/>
              <w:adjustRightInd w:val="0"/>
              <w:spacing w:before="0" w:beforeAutospacing="0" w:after="0" w:afterAutospacing="0"/>
              <w:ind w:left="0" w:right="0"/>
              <w:jc w:val="left"/>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t xml:space="preserve">灵川县中医医院 </w:t>
            </w:r>
          </w:p>
        </w:tc>
      </w:tr>
      <w:tr>
        <w:tblPrEx>
          <w:tblCellMar>
            <w:top w:w="0" w:type="dxa"/>
            <w:left w:w="108" w:type="dxa"/>
            <w:bottom w:w="0" w:type="dxa"/>
            <w:right w:w="108" w:type="dxa"/>
          </w:tblCellMar>
        </w:tblPrEx>
        <w:trPr>
          <w:trHeight w:val="583" w:hRule="atLeast"/>
          <w:jc w:val="center"/>
        </w:trPr>
        <w:tc>
          <w:tcPr>
            <w:tcW w:w="2713" w:type="dxa"/>
            <w:gridSpan w:val="2"/>
            <w:noWrap w:val="0"/>
            <w:vAlign w:val="top"/>
          </w:tcPr>
          <w:p>
            <w:pPr>
              <w:keepNext w:val="0"/>
              <w:keepLines w:val="0"/>
              <w:suppressLineNumbers w:val="0"/>
              <w:autoSpaceDE w:val="0"/>
              <w:autoSpaceDN w:val="0"/>
              <w:adjustRightInd w:val="0"/>
              <w:spacing w:before="0" w:beforeAutospacing="0" w:after="0" w:afterAutospacing="0"/>
              <w:ind w:left="0" w:right="0"/>
              <w:jc w:val="right"/>
              <w:rPr>
                <w:rFonts w:ascii="Arial" w:hAnsi="Arial" w:eastAsia="宋体" w:cs="Arial"/>
                <w:b/>
                <w:color w:val="auto"/>
                <w:sz w:val="32"/>
                <w:szCs w:val="32"/>
                <w:highlight w:val="none"/>
              </w:rPr>
            </w:pPr>
            <w:r>
              <w:rPr>
                <w:rFonts w:ascii="Arial" w:hAnsi="Arial" w:eastAsia="宋体" w:cs="Arial"/>
                <w:b/>
                <w:color w:val="auto"/>
                <w:sz w:val="32"/>
                <w:szCs w:val="32"/>
                <w:highlight w:val="none"/>
              </w:rPr>
              <w:t>采购代理机构：</w:t>
            </w:r>
          </w:p>
        </w:tc>
        <w:tc>
          <w:tcPr>
            <w:tcW w:w="5571" w:type="dxa"/>
            <w:noWrap w:val="0"/>
            <w:vAlign w:val="top"/>
          </w:tcPr>
          <w:p>
            <w:pPr>
              <w:keepNext w:val="0"/>
              <w:keepLines w:val="0"/>
              <w:suppressLineNumbers w:val="0"/>
              <w:autoSpaceDE w:val="0"/>
              <w:autoSpaceDN w:val="0"/>
              <w:adjustRightInd w:val="0"/>
              <w:spacing w:before="0" w:beforeAutospacing="0" w:after="0" w:afterAutospacing="0"/>
              <w:ind w:left="0" w:right="0"/>
              <w:rPr>
                <w:rFonts w:ascii="Arial" w:hAnsi="Arial" w:eastAsia="宋体" w:cs="Arial"/>
                <w:b/>
                <w:color w:val="auto"/>
                <w:sz w:val="32"/>
                <w:szCs w:val="32"/>
                <w:highlight w:val="none"/>
                <w:u w:val="single"/>
              </w:rPr>
            </w:pPr>
            <w:r>
              <w:rPr>
                <w:rFonts w:ascii="Arial" w:hAnsi="Arial" w:eastAsia="宋体" w:cs="Arial"/>
                <w:b/>
                <w:color w:val="auto"/>
                <w:sz w:val="32"/>
                <w:szCs w:val="32"/>
                <w:highlight w:val="none"/>
              </w:rPr>
              <w:t>广西机电设备招标有限公司</w:t>
            </w:r>
          </w:p>
        </w:tc>
      </w:tr>
    </w:tbl>
    <w:p>
      <w:pPr>
        <w:autoSpaceDE w:val="0"/>
        <w:autoSpaceDN w:val="0"/>
        <w:adjustRightInd w:val="0"/>
        <w:jc w:val="center"/>
        <w:rPr>
          <w:rFonts w:ascii="Arial" w:hAnsi="Arial" w:cs="Arial"/>
          <w:b/>
          <w:color w:val="auto"/>
          <w:sz w:val="32"/>
          <w:szCs w:val="32"/>
          <w:highlight w:val="none"/>
        </w:rPr>
      </w:pPr>
    </w:p>
    <w:p>
      <w:pPr>
        <w:autoSpaceDE w:val="0"/>
        <w:autoSpaceDN w:val="0"/>
        <w:adjustRightInd w:val="0"/>
        <w:jc w:val="center"/>
        <w:rPr>
          <w:rFonts w:ascii="Arial" w:hAnsi="Arial" w:cs="Arial"/>
          <w:b/>
          <w:color w:val="auto"/>
          <w:sz w:val="32"/>
          <w:szCs w:val="32"/>
          <w:highlight w:val="none"/>
        </w:rPr>
      </w:pPr>
      <w:r>
        <w:rPr>
          <w:rFonts w:ascii="Arial" w:hAnsi="Arial" w:cs="Arial"/>
          <w:b/>
          <w:color w:val="auto"/>
          <w:sz w:val="32"/>
          <w:szCs w:val="32"/>
          <w:highlight w:val="none"/>
        </w:rPr>
        <w:t>20</w:t>
      </w:r>
      <w:r>
        <w:rPr>
          <w:rFonts w:hint="eastAsia" w:ascii="Arial" w:hAnsi="Arial" w:cs="Arial"/>
          <w:b/>
          <w:color w:val="auto"/>
          <w:sz w:val="32"/>
          <w:szCs w:val="32"/>
          <w:highlight w:val="none"/>
        </w:rPr>
        <w:t>25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10</w:t>
      </w:r>
      <w:r>
        <w:rPr>
          <w:rFonts w:ascii="Arial" w:hAnsi="Arial" w:cs="Arial"/>
          <w:b/>
          <w:color w:val="auto"/>
          <w:sz w:val="32"/>
          <w:szCs w:val="32"/>
          <w:highlight w:val="none"/>
        </w:rPr>
        <w:t>月</w:t>
      </w:r>
    </w:p>
    <w:p>
      <w:pPr>
        <w:autoSpaceDE w:val="0"/>
        <w:autoSpaceDN w:val="0"/>
        <w:adjustRightInd w:val="0"/>
        <w:spacing w:line="360" w:lineRule="auto"/>
        <w:jc w:val="left"/>
        <w:rPr>
          <w:rFonts w:ascii="Arial" w:hAnsi="Arial" w:cs="Arial"/>
          <w:b/>
          <w:color w:val="auto"/>
          <w:kern w:val="0"/>
          <w:sz w:val="28"/>
          <w:szCs w:val="28"/>
          <w:highlight w:val="none"/>
        </w:rPr>
      </w:pPr>
    </w:p>
    <w:p>
      <w:pPr>
        <w:rPr>
          <w:rFonts w:ascii="Arial" w:hAnsi="Arial" w:cs="Arial"/>
          <w:color w:val="auto"/>
          <w:sz w:val="32"/>
          <w:szCs w:val="32"/>
          <w:highlight w:val="none"/>
        </w:rPr>
      </w:pPr>
      <w:r>
        <w:rPr>
          <w:rFonts w:ascii="Arial" w:hAnsi="Arial" w:cs="Arial"/>
          <w:color w:val="auto"/>
          <w:sz w:val="32"/>
          <w:szCs w:val="32"/>
          <w:highlight w:val="none"/>
        </w:rPr>
        <w:br w:type="page"/>
      </w:r>
    </w:p>
    <w:p>
      <w:pPr>
        <w:pStyle w:val="30"/>
        <w:spacing w:before="120" w:after="120" w:line="360" w:lineRule="auto"/>
        <w:jc w:val="center"/>
        <w:rPr>
          <w:rFonts w:ascii="Arial" w:hAnsi="Arial" w:cs="Arial"/>
          <w:color w:val="auto"/>
          <w:sz w:val="28"/>
          <w:szCs w:val="28"/>
          <w:highlight w:val="none"/>
        </w:rPr>
      </w:pPr>
      <w:r>
        <w:rPr>
          <w:rFonts w:ascii="Arial" w:hAnsi="Arial" w:cs="Arial"/>
          <w:color w:val="auto"/>
          <w:sz w:val="44"/>
          <w:szCs w:val="44"/>
          <w:highlight w:val="none"/>
        </w:rPr>
        <w:t>目    录</w:t>
      </w:r>
    </w:p>
    <w:p>
      <w:pPr>
        <w:pStyle w:val="37"/>
        <w:tabs>
          <w:tab w:val="right" w:leader="dot" w:pos="9070"/>
          <w:tab w:val="clear" w:pos="8398"/>
        </w:tabs>
        <w:ind w:firstLine="281"/>
        <w:rPr>
          <w:color w:val="auto"/>
          <w:highlight w:val="none"/>
        </w:rPr>
      </w:pPr>
      <w:r>
        <w:rPr>
          <w:rFonts w:ascii="Arial" w:hAnsi="Arial" w:cs="Arial"/>
          <w:color w:val="auto"/>
          <w:sz w:val="28"/>
          <w:szCs w:val="28"/>
          <w:highlight w:val="none"/>
        </w:rPr>
        <w:fldChar w:fldCharType="begin"/>
      </w:r>
      <w:r>
        <w:rPr>
          <w:rFonts w:ascii="Arial" w:hAnsi="Arial" w:cs="Arial"/>
          <w:color w:val="auto"/>
          <w:sz w:val="28"/>
          <w:szCs w:val="28"/>
          <w:highlight w:val="none"/>
        </w:rPr>
        <w:instrText xml:space="preserve">TOC \o "1-3" \h \u </w:instrText>
      </w:r>
      <w:r>
        <w:rPr>
          <w:rFonts w:ascii="Arial" w:hAnsi="Arial" w:cs="Arial"/>
          <w:color w:val="auto"/>
          <w:sz w:val="28"/>
          <w:szCs w:val="28"/>
          <w:highlight w:val="none"/>
        </w:rPr>
        <w:fldChar w:fldCharType="separate"/>
      </w:r>
      <w:r>
        <w:rPr>
          <w:rFonts w:ascii="Arial" w:hAnsi="Arial" w:cs="Arial"/>
          <w:color w:val="auto"/>
          <w:szCs w:val="28"/>
          <w:highlight w:val="none"/>
        </w:rPr>
        <w:fldChar w:fldCharType="begin"/>
      </w:r>
      <w:r>
        <w:rPr>
          <w:rFonts w:ascii="Arial" w:hAnsi="Arial" w:cs="Arial"/>
          <w:color w:val="auto"/>
          <w:szCs w:val="28"/>
          <w:highlight w:val="none"/>
        </w:rPr>
        <w:instrText xml:space="preserve"> HYPERLINK \l _Toc2831 </w:instrText>
      </w:r>
      <w:r>
        <w:rPr>
          <w:rFonts w:ascii="Arial" w:hAnsi="Arial" w:cs="Arial"/>
          <w:color w:val="auto"/>
          <w:szCs w:val="28"/>
          <w:highlight w:val="none"/>
        </w:rPr>
        <w:fldChar w:fldCharType="separate"/>
      </w:r>
      <w:r>
        <w:rPr>
          <w:rFonts w:ascii="Arial" w:hAnsi="Arial" w:cs="Arial"/>
          <w:color w:val="auto"/>
          <w:szCs w:val="32"/>
          <w:highlight w:val="none"/>
        </w:rPr>
        <w:t>第一章  竞争性磋商公告</w:t>
      </w:r>
      <w:r>
        <w:rPr>
          <w:color w:val="auto"/>
          <w:highlight w:val="none"/>
        </w:rPr>
        <w:tab/>
      </w:r>
      <w:r>
        <w:rPr>
          <w:color w:val="auto"/>
          <w:highlight w:val="none"/>
        </w:rPr>
        <w:fldChar w:fldCharType="begin"/>
      </w:r>
      <w:r>
        <w:rPr>
          <w:color w:val="auto"/>
          <w:highlight w:val="none"/>
        </w:rPr>
        <w:instrText xml:space="preserve"> PAGEREF _Toc2831 </w:instrText>
      </w:r>
      <w:r>
        <w:rPr>
          <w:color w:val="auto"/>
          <w:highlight w:val="none"/>
        </w:rPr>
        <w:fldChar w:fldCharType="separate"/>
      </w:r>
      <w:r>
        <w:rPr>
          <w:color w:val="auto"/>
          <w:highlight w:val="none"/>
        </w:rPr>
        <w:t>1</w:t>
      </w:r>
      <w:r>
        <w:rPr>
          <w:color w:val="auto"/>
          <w:highlight w:val="none"/>
        </w:rPr>
        <w:fldChar w:fldCharType="end"/>
      </w:r>
      <w:r>
        <w:rPr>
          <w:rFonts w:ascii="Arial" w:hAnsi="Arial" w:cs="Arial"/>
          <w:color w:val="auto"/>
          <w:szCs w:val="28"/>
          <w:highlight w:val="none"/>
        </w:rPr>
        <w:fldChar w:fldCharType="end"/>
      </w:r>
    </w:p>
    <w:p>
      <w:pPr>
        <w:pStyle w:val="37"/>
        <w:tabs>
          <w:tab w:val="right" w:leader="dot" w:pos="9070"/>
          <w:tab w:val="clear" w:pos="8398"/>
        </w:tabs>
        <w:ind w:firstLine="241"/>
        <w:rPr>
          <w:color w:val="auto"/>
          <w:highlight w:val="none"/>
        </w:rPr>
      </w:pPr>
      <w:r>
        <w:rPr>
          <w:rFonts w:ascii="Arial" w:hAnsi="Arial" w:cs="Arial"/>
          <w:color w:val="auto"/>
          <w:szCs w:val="28"/>
          <w:highlight w:val="none"/>
        </w:rPr>
        <w:fldChar w:fldCharType="begin"/>
      </w:r>
      <w:r>
        <w:rPr>
          <w:rFonts w:ascii="Arial" w:hAnsi="Arial" w:cs="Arial"/>
          <w:color w:val="auto"/>
          <w:szCs w:val="28"/>
          <w:highlight w:val="none"/>
        </w:rPr>
        <w:instrText xml:space="preserve"> HYPERLINK \l _Toc1244 </w:instrText>
      </w:r>
      <w:r>
        <w:rPr>
          <w:rFonts w:ascii="Arial" w:hAnsi="Arial" w:cs="Arial"/>
          <w:color w:val="auto"/>
          <w:szCs w:val="28"/>
          <w:highlight w:val="none"/>
        </w:rPr>
        <w:fldChar w:fldCharType="separate"/>
      </w:r>
      <w:r>
        <w:rPr>
          <w:rFonts w:hint="eastAsia" w:ascii="Arial" w:hAnsi="Arial" w:cs="Arial"/>
          <w:color w:val="auto"/>
          <w:highlight w:val="none"/>
        </w:rPr>
        <w:t xml:space="preserve">第二章 </w:t>
      </w:r>
      <w:r>
        <w:rPr>
          <w:rFonts w:ascii="Arial" w:hAnsi="Arial" w:cs="Arial"/>
          <w:color w:val="auto"/>
          <w:szCs w:val="32"/>
          <w:highlight w:val="none"/>
        </w:rPr>
        <w:t>项目采购需求</w:t>
      </w:r>
      <w:r>
        <w:rPr>
          <w:color w:val="auto"/>
          <w:highlight w:val="none"/>
        </w:rPr>
        <w:tab/>
      </w:r>
      <w:r>
        <w:rPr>
          <w:color w:val="auto"/>
          <w:highlight w:val="none"/>
        </w:rPr>
        <w:fldChar w:fldCharType="begin"/>
      </w:r>
      <w:r>
        <w:rPr>
          <w:color w:val="auto"/>
          <w:highlight w:val="none"/>
        </w:rPr>
        <w:instrText xml:space="preserve"> PAGEREF _Toc1244 </w:instrText>
      </w:r>
      <w:r>
        <w:rPr>
          <w:color w:val="auto"/>
          <w:highlight w:val="none"/>
        </w:rPr>
        <w:fldChar w:fldCharType="separate"/>
      </w:r>
      <w:r>
        <w:rPr>
          <w:color w:val="auto"/>
          <w:highlight w:val="none"/>
        </w:rPr>
        <w:t>3</w:t>
      </w:r>
      <w:r>
        <w:rPr>
          <w:color w:val="auto"/>
          <w:highlight w:val="none"/>
        </w:rPr>
        <w:fldChar w:fldCharType="end"/>
      </w:r>
      <w:r>
        <w:rPr>
          <w:rFonts w:ascii="Arial" w:hAnsi="Arial" w:cs="Arial"/>
          <w:color w:val="auto"/>
          <w:szCs w:val="28"/>
          <w:highlight w:val="none"/>
        </w:rPr>
        <w:fldChar w:fldCharType="end"/>
      </w:r>
    </w:p>
    <w:p>
      <w:pPr>
        <w:pStyle w:val="37"/>
        <w:tabs>
          <w:tab w:val="right" w:leader="dot" w:pos="9070"/>
          <w:tab w:val="clear" w:pos="8398"/>
        </w:tabs>
        <w:ind w:firstLine="241"/>
        <w:rPr>
          <w:color w:val="auto"/>
          <w:highlight w:val="none"/>
        </w:rPr>
      </w:pPr>
      <w:r>
        <w:rPr>
          <w:rFonts w:ascii="Arial" w:hAnsi="Arial" w:cs="Arial"/>
          <w:color w:val="auto"/>
          <w:szCs w:val="28"/>
          <w:highlight w:val="none"/>
        </w:rPr>
        <w:fldChar w:fldCharType="begin"/>
      </w:r>
      <w:r>
        <w:rPr>
          <w:rFonts w:ascii="Arial" w:hAnsi="Arial" w:cs="Arial"/>
          <w:color w:val="auto"/>
          <w:szCs w:val="28"/>
          <w:highlight w:val="none"/>
        </w:rPr>
        <w:instrText xml:space="preserve"> HYPERLINK \l _Toc23226 </w:instrText>
      </w:r>
      <w:r>
        <w:rPr>
          <w:rFonts w:ascii="Arial" w:hAnsi="Arial" w:cs="Arial"/>
          <w:color w:val="auto"/>
          <w:szCs w:val="28"/>
          <w:highlight w:val="none"/>
        </w:rPr>
        <w:fldChar w:fldCharType="separate"/>
      </w:r>
      <w:r>
        <w:rPr>
          <w:rFonts w:ascii="Arial" w:hAnsi="Arial" w:cs="Arial"/>
          <w:color w:val="auto"/>
          <w:highlight w:val="none"/>
        </w:rPr>
        <w:t>第三章 供应商须知</w:t>
      </w:r>
      <w:bookmarkStart w:id="297" w:name="_GoBack"/>
      <w:bookmarkEnd w:id="297"/>
      <w:r>
        <w:rPr>
          <w:color w:val="auto"/>
          <w:highlight w:val="none"/>
        </w:rPr>
        <w:tab/>
      </w:r>
      <w:r>
        <w:rPr>
          <w:color w:val="auto"/>
          <w:highlight w:val="none"/>
        </w:rPr>
        <w:fldChar w:fldCharType="begin"/>
      </w:r>
      <w:r>
        <w:rPr>
          <w:color w:val="auto"/>
          <w:highlight w:val="none"/>
        </w:rPr>
        <w:instrText xml:space="preserve"> PAGEREF _Toc23226 </w:instrText>
      </w:r>
      <w:r>
        <w:rPr>
          <w:color w:val="auto"/>
          <w:highlight w:val="none"/>
        </w:rPr>
        <w:fldChar w:fldCharType="separate"/>
      </w:r>
      <w:r>
        <w:rPr>
          <w:color w:val="auto"/>
          <w:highlight w:val="none"/>
        </w:rPr>
        <w:t>14</w:t>
      </w:r>
      <w:r>
        <w:rPr>
          <w:color w:val="auto"/>
          <w:highlight w:val="none"/>
        </w:rPr>
        <w:fldChar w:fldCharType="end"/>
      </w:r>
      <w:r>
        <w:rPr>
          <w:rFonts w:ascii="Arial" w:hAnsi="Arial" w:cs="Arial"/>
          <w:color w:val="auto"/>
          <w:szCs w:val="28"/>
          <w:highlight w:val="none"/>
        </w:rPr>
        <w:fldChar w:fldCharType="end"/>
      </w:r>
    </w:p>
    <w:p>
      <w:pPr>
        <w:pStyle w:val="37"/>
        <w:tabs>
          <w:tab w:val="right" w:leader="dot" w:pos="9070"/>
          <w:tab w:val="clear" w:pos="8398"/>
        </w:tabs>
        <w:ind w:firstLine="241"/>
        <w:rPr>
          <w:color w:val="auto"/>
          <w:highlight w:val="none"/>
        </w:rPr>
      </w:pPr>
      <w:r>
        <w:rPr>
          <w:rFonts w:ascii="Arial" w:hAnsi="Arial" w:cs="Arial"/>
          <w:color w:val="auto"/>
          <w:szCs w:val="28"/>
          <w:highlight w:val="none"/>
        </w:rPr>
        <w:fldChar w:fldCharType="begin"/>
      </w:r>
      <w:r>
        <w:rPr>
          <w:rFonts w:ascii="Arial" w:hAnsi="Arial" w:cs="Arial"/>
          <w:color w:val="auto"/>
          <w:szCs w:val="28"/>
          <w:highlight w:val="none"/>
        </w:rPr>
        <w:instrText xml:space="preserve"> HYPERLINK \l _Toc16414 </w:instrText>
      </w:r>
      <w:r>
        <w:rPr>
          <w:rFonts w:ascii="Arial" w:hAnsi="Arial" w:cs="Arial"/>
          <w:color w:val="auto"/>
          <w:szCs w:val="28"/>
          <w:highlight w:val="none"/>
        </w:rPr>
        <w:fldChar w:fldCharType="separate"/>
      </w:r>
      <w:r>
        <w:rPr>
          <w:rFonts w:ascii="Arial" w:hAnsi="Arial" w:cs="Arial"/>
          <w:color w:val="auto"/>
          <w:szCs w:val="32"/>
          <w:highlight w:val="none"/>
        </w:rPr>
        <w:t>第四章 合同格式</w:t>
      </w:r>
      <w:r>
        <w:rPr>
          <w:color w:val="auto"/>
          <w:highlight w:val="none"/>
        </w:rPr>
        <w:tab/>
      </w:r>
      <w:r>
        <w:rPr>
          <w:color w:val="auto"/>
          <w:highlight w:val="none"/>
        </w:rPr>
        <w:fldChar w:fldCharType="begin"/>
      </w:r>
      <w:r>
        <w:rPr>
          <w:color w:val="auto"/>
          <w:highlight w:val="none"/>
        </w:rPr>
        <w:instrText xml:space="preserve"> PAGEREF _Toc16414 </w:instrText>
      </w:r>
      <w:r>
        <w:rPr>
          <w:color w:val="auto"/>
          <w:highlight w:val="none"/>
        </w:rPr>
        <w:fldChar w:fldCharType="separate"/>
      </w:r>
      <w:r>
        <w:rPr>
          <w:color w:val="auto"/>
          <w:highlight w:val="none"/>
        </w:rPr>
        <w:t>24</w:t>
      </w:r>
      <w:r>
        <w:rPr>
          <w:color w:val="auto"/>
          <w:highlight w:val="none"/>
        </w:rPr>
        <w:fldChar w:fldCharType="end"/>
      </w:r>
      <w:r>
        <w:rPr>
          <w:rFonts w:ascii="Arial" w:hAnsi="Arial" w:cs="Arial"/>
          <w:color w:val="auto"/>
          <w:szCs w:val="28"/>
          <w:highlight w:val="none"/>
        </w:rPr>
        <w:fldChar w:fldCharType="end"/>
      </w:r>
    </w:p>
    <w:p>
      <w:pPr>
        <w:pStyle w:val="37"/>
        <w:tabs>
          <w:tab w:val="right" w:leader="dot" w:pos="9070"/>
          <w:tab w:val="clear" w:pos="8398"/>
        </w:tabs>
        <w:ind w:firstLine="241"/>
        <w:rPr>
          <w:color w:val="auto"/>
          <w:highlight w:val="none"/>
        </w:rPr>
      </w:pPr>
      <w:r>
        <w:rPr>
          <w:rFonts w:ascii="Arial" w:hAnsi="Arial" w:cs="Arial"/>
          <w:color w:val="auto"/>
          <w:szCs w:val="28"/>
          <w:highlight w:val="none"/>
        </w:rPr>
        <w:fldChar w:fldCharType="begin"/>
      </w:r>
      <w:r>
        <w:rPr>
          <w:rFonts w:ascii="Arial" w:hAnsi="Arial" w:cs="Arial"/>
          <w:color w:val="auto"/>
          <w:szCs w:val="28"/>
          <w:highlight w:val="none"/>
        </w:rPr>
        <w:instrText xml:space="preserve"> HYPERLINK \l _Toc20278 </w:instrText>
      </w:r>
      <w:r>
        <w:rPr>
          <w:rFonts w:ascii="Arial" w:hAnsi="Arial" w:cs="Arial"/>
          <w:color w:val="auto"/>
          <w:szCs w:val="28"/>
          <w:highlight w:val="none"/>
        </w:rPr>
        <w:fldChar w:fldCharType="separate"/>
      </w:r>
      <w:r>
        <w:rPr>
          <w:rFonts w:ascii="Arial" w:hAnsi="Arial" w:cs="Arial"/>
          <w:color w:val="auto"/>
          <w:szCs w:val="32"/>
          <w:highlight w:val="none"/>
        </w:rPr>
        <w:t>第五章  评审方法及评审标准</w:t>
      </w:r>
      <w:r>
        <w:rPr>
          <w:color w:val="auto"/>
          <w:highlight w:val="none"/>
        </w:rPr>
        <w:tab/>
      </w:r>
      <w:r>
        <w:rPr>
          <w:color w:val="auto"/>
          <w:highlight w:val="none"/>
        </w:rPr>
        <w:fldChar w:fldCharType="begin"/>
      </w:r>
      <w:r>
        <w:rPr>
          <w:color w:val="auto"/>
          <w:highlight w:val="none"/>
        </w:rPr>
        <w:instrText xml:space="preserve"> PAGEREF _Toc20278 </w:instrText>
      </w:r>
      <w:r>
        <w:rPr>
          <w:color w:val="auto"/>
          <w:highlight w:val="none"/>
        </w:rPr>
        <w:fldChar w:fldCharType="separate"/>
      </w:r>
      <w:r>
        <w:rPr>
          <w:color w:val="auto"/>
          <w:highlight w:val="none"/>
        </w:rPr>
        <w:t>28</w:t>
      </w:r>
      <w:r>
        <w:rPr>
          <w:color w:val="auto"/>
          <w:highlight w:val="none"/>
        </w:rPr>
        <w:fldChar w:fldCharType="end"/>
      </w:r>
      <w:r>
        <w:rPr>
          <w:rFonts w:ascii="Arial" w:hAnsi="Arial" w:cs="Arial"/>
          <w:color w:val="auto"/>
          <w:szCs w:val="28"/>
          <w:highlight w:val="none"/>
        </w:rPr>
        <w:fldChar w:fldCharType="end"/>
      </w:r>
    </w:p>
    <w:p>
      <w:pPr>
        <w:pStyle w:val="37"/>
        <w:tabs>
          <w:tab w:val="right" w:leader="dot" w:pos="9070"/>
          <w:tab w:val="clear" w:pos="8398"/>
        </w:tabs>
        <w:ind w:firstLine="241"/>
        <w:rPr>
          <w:color w:val="auto"/>
          <w:highlight w:val="none"/>
        </w:rPr>
      </w:pPr>
      <w:r>
        <w:rPr>
          <w:rFonts w:ascii="Arial" w:hAnsi="Arial" w:cs="Arial"/>
          <w:color w:val="auto"/>
          <w:szCs w:val="28"/>
          <w:highlight w:val="none"/>
        </w:rPr>
        <w:fldChar w:fldCharType="begin"/>
      </w:r>
      <w:r>
        <w:rPr>
          <w:rFonts w:ascii="Arial" w:hAnsi="Arial" w:cs="Arial"/>
          <w:color w:val="auto"/>
          <w:szCs w:val="28"/>
          <w:highlight w:val="none"/>
        </w:rPr>
        <w:instrText xml:space="preserve"> HYPERLINK \l _Toc21773 </w:instrText>
      </w:r>
      <w:r>
        <w:rPr>
          <w:rFonts w:ascii="Arial" w:hAnsi="Arial" w:cs="Arial"/>
          <w:color w:val="auto"/>
          <w:szCs w:val="28"/>
          <w:highlight w:val="none"/>
        </w:rPr>
        <w:fldChar w:fldCharType="separate"/>
      </w:r>
      <w:r>
        <w:rPr>
          <w:rFonts w:ascii="Arial" w:hAnsi="Arial" w:cs="Arial"/>
          <w:color w:val="auto"/>
          <w:szCs w:val="32"/>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_Toc21773 </w:instrText>
      </w:r>
      <w:r>
        <w:rPr>
          <w:color w:val="auto"/>
          <w:highlight w:val="none"/>
        </w:rPr>
        <w:fldChar w:fldCharType="separate"/>
      </w:r>
      <w:r>
        <w:rPr>
          <w:color w:val="auto"/>
          <w:highlight w:val="none"/>
        </w:rPr>
        <w:t>31</w:t>
      </w:r>
      <w:r>
        <w:rPr>
          <w:color w:val="auto"/>
          <w:highlight w:val="none"/>
        </w:rPr>
        <w:fldChar w:fldCharType="end"/>
      </w:r>
      <w:r>
        <w:rPr>
          <w:rFonts w:ascii="Arial" w:hAnsi="Arial" w:cs="Arial"/>
          <w:color w:val="auto"/>
          <w:szCs w:val="28"/>
          <w:highlight w:val="none"/>
        </w:rPr>
        <w:fldChar w:fldCharType="end"/>
      </w:r>
    </w:p>
    <w:p>
      <w:pPr>
        <w:spacing w:before="120" w:line="480" w:lineRule="auto"/>
        <w:rPr>
          <w:rFonts w:ascii="Arial" w:hAnsi="Arial" w:cs="Arial"/>
          <w:color w:val="auto"/>
          <w:sz w:val="28"/>
          <w:szCs w:val="28"/>
          <w:highlight w:val="none"/>
        </w:rPr>
        <w:sectPr>
          <w:headerReference r:id="rId4" w:type="first"/>
          <w:headerReference r:id="rId3" w:type="default"/>
          <w:pgSz w:w="11906" w:h="16838"/>
          <w:pgMar w:top="1418" w:right="1418" w:bottom="1246" w:left="1418" w:header="851" w:footer="992" w:gutter="0"/>
          <w:pgNumType w:start="0"/>
          <w:cols w:space="720" w:num="1"/>
          <w:titlePg/>
          <w:docGrid w:linePitch="312" w:charSpace="0"/>
        </w:sectPr>
      </w:pPr>
      <w:r>
        <w:rPr>
          <w:rFonts w:ascii="Arial" w:hAnsi="Arial" w:cs="Arial"/>
          <w:color w:val="auto"/>
          <w:szCs w:val="28"/>
          <w:highlight w:val="none"/>
        </w:rPr>
        <w:fldChar w:fldCharType="end"/>
      </w:r>
      <w:bookmarkStart w:id="2" w:name="_Toc254970630"/>
      <w:bookmarkStart w:id="3" w:name="_Toc254970489"/>
      <w:bookmarkStart w:id="4" w:name="_Toc298516021"/>
      <w:r>
        <w:rPr>
          <w:rFonts w:ascii="Arial" w:hAnsi="Arial" w:cs="Arial"/>
          <w:color w:val="auto"/>
          <w:szCs w:val="28"/>
          <w:highlight w:val="none"/>
        </w:rPr>
        <w:t xml:space="preserve"> </w:t>
      </w:r>
    </w:p>
    <w:p>
      <w:pPr>
        <w:pStyle w:val="2"/>
        <w:rPr>
          <w:rFonts w:ascii="Arial" w:hAnsi="Arial" w:eastAsia="宋体" w:cs="Arial"/>
          <w:color w:val="auto"/>
          <w:szCs w:val="32"/>
          <w:highlight w:val="none"/>
        </w:rPr>
      </w:pPr>
      <w:bookmarkStart w:id="5" w:name="_Toc2831"/>
      <w:r>
        <w:rPr>
          <w:rFonts w:ascii="Arial" w:hAnsi="Arial" w:eastAsia="宋体" w:cs="Arial"/>
          <w:color w:val="auto"/>
          <w:szCs w:val="32"/>
          <w:highlight w:val="none"/>
        </w:rPr>
        <w:t xml:space="preserve">第一章  </w:t>
      </w:r>
      <w:bookmarkEnd w:id="2"/>
      <w:bookmarkEnd w:id="3"/>
      <w:r>
        <w:rPr>
          <w:rFonts w:ascii="Arial" w:hAnsi="Arial" w:eastAsia="宋体" w:cs="Arial"/>
          <w:color w:val="auto"/>
          <w:szCs w:val="32"/>
          <w:highlight w:val="none"/>
        </w:rPr>
        <w:t>竞争性磋商公告</w:t>
      </w:r>
      <w:bookmarkEnd w:id="4"/>
      <w:bookmarkEnd w:id="5"/>
    </w:p>
    <w:p>
      <w:pPr>
        <w:snapToGrid w:val="0"/>
        <w:spacing w:line="288" w:lineRule="auto"/>
        <w:jc w:val="center"/>
        <w:rPr>
          <w:rFonts w:hint="eastAsia" w:ascii="Arial" w:hAnsi="Arial" w:cs="Arial"/>
          <w:b/>
          <w:color w:val="auto"/>
          <w:sz w:val="24"/>
          <w:highlight w:val="none"/>
        </w:rPr>
      </w:pPr>
      <w:bookmarkStart w:id="6" w:name="_Toc298516023"/>
      <w:r>
        <w:rPr>
          <w:rFonts w:ascii="Arial" w:hAnsi="Arial" w:cs="Arial"/>
          <w:b/>
          <w:color w:val="auto"/>
          <w:sz w:val="24"/>
          <w:highlight w:val="none"/>
        </w:rPr>
        <w:t>广西机电设备招标有限公司关于</w:t>
      </w:r>
      <w:r>
        <w:rPr>
          <w:rFonts w:hint="eastAsia" w:ascii="Arial" w:hAnsi="Arial" w:cs="Arial"/>
          <w:b/>
          <w:color w:val="auto"/>
          <w:sz w:val="24"/>
          <w:highlight w:val="none"/>
        </w:rPr>
        <w:t>灵川县中医医院中药饮片代煎服务</w:t>
      </w:r>
    </w:p>
    <w:p>
      <w:pPr>
        <w:snapToGrid w:val="0"/>
        <w:spacing w:line="288" w:lineRule="auto"/>
        <w:jc w:val="center"/>
        <w:rPr>
          <w:rFonts w:ascii="Arial" w:hAnsi="Arial" w:cs="Arial"/>
          <w:color w:val="auto"/>
          <w:highlight w:val="none"/>
        </w:rPr>
      </w:pPr>
      <w:r>
        <w:rPr>
          <w:rFonts w:ascii="Arial" w:hAnsi="Arial" w:cs="Arial"/>
          <w:b/>
          <w:color w:val="auto"/>
          <w:sz w:val="24"/>
          <w:highlight w:val="none"/>
        </w:rPr>
        <w:t>竞争性磋商公告</w:t>
      </w:r>
    </w:p>
    <w:p>
      <w:pPr>
        <w:spacing w:line="288" w:lineRule="auto"/>
        <w:ind w:firstLine="480"/>
        <w:rPr>
          <w:rFonts w:ascii="Arial" w:hAnsi="Arial" w:cs="Arial"/>
          <w:color w:val="auto"/>
          <w:szCs w:val="21"/>
          <w:highlight w:val="none"/>
        </w:rPr>
      </w:pPr>
      <w:r>
        <w:rPr>
          <w:rFonts w:ascii="Arial" w:hAnsi="Arial" w:cs="Arial"/>
          <w:color w:val="auto"/>
          <w:szCs w:val="21"/>
          <w:highlight w:val="none"/>
        </w:rPr>
        <w:t>广西机电设备招标有限公司受</w:t>
      </w:r>
      <w:r>
        <w:rPr>
          <w:rFonts w:hint="eastAsia" w:ascii="Arial" w:hAnsi="Arial" w:cs="Arial"/>
          <w:color w:val="auto"/>
          <w:kern w:val="0"/>
          <w:szCs w:val="21"/>
          <w:highlight w:val="none"/>
        </w:rPr>
        <w:t>灵川县中医医院</w:t>
      </w:r>
      <w:r>
        <w:rPr>
          <w:rFonts w:ascii="Arial" w:hAnsi="Arial" w:cs="Arial"/>
          <w:color w:val="auto"/>
          <w:szCs w:val="21"/>
          <w:highlight w:val="none"/>
        </w:rPr>
        <w:t>委托，对</w:t>
      </w:r>
      <w:r>
        <w:rPr>
          <w:rFonts w:hint="eastAsia" w:ascii="Arial" w:hAnsi="Arial" w:cs="Arial"/>
          <w:color w:val="auto"/>
          <w:szCs w:val="21"/>
          <w:highlight w:val="none"/>
        </w:rPr>
        <w:t>灵川县中医医院中药饮片代煎服务</w:t>
      </w:r>
      <w:r>
        <w:rPr>
          <w:rFonts w:ascii="Arial" w:hAnsi="Arial" w:cs="Arial"/>
          <w:color w:val="auto"/>
          <w:szCs w:val="21"/>
          <w:highlight w:val="none"/>
        </w:rPr>
        <w:t>组织竞争性磋商采购，特邀请有关单位参加磋商，现将有关事项公告如下：</w:t>
      </w:r>
    </w:p>
    <w:p>
      <w:pPr>
        <w:spacing w:line="288" w:lineRule="auto"/>
        <w:rPr>
          <w:rFonts w:ascii="Arial" w:hAnsi="Arial" w:cs="Arial"/>
          <w:b/>
          <w:bCs/>
          <w:color w:val="auto"/>
          <w:szCs w:val="21"/>
          <w:highlight w:val="none"/>
        </w:rPr>
      </w:pPr>
      <w:r>
        <w:rPr>
          <w:rFonts w:ascii="Arial" w:hAnsi="Arial" w:cs="Arial"/>
          <w:b/>
          <w:bCs/>
          <w:color w:val="auto"/>
          <w:szCs w:val="21"/>
          <w:highlight w:val="none"/>
        </w:rPr>
        <w:t>一、项目</w:t>
      </w:r>
      <w:r>
        <w:rPr>
          <w:rFonts w:hint="eastAsia" w:ascii="Arial" w:hAnsi="Arial" w:cs="Arial"/>
          <w:b/>
          <w:bCs/>
          <w:color w:val="auto"/>
          <w:szCs w:val="21"/>
          <w:highlight w:val="none"/>
        </w:rPr>
        <w:t>基本情况</w:t>
      </w:r>
    </w:p>
    <w:p>
      <w:pPr>
        <w:spacing w:line="288" w:lineRule="auto"/>
        <w:ind w:firstLine="420" w:firstLineChars="200"/>
        <w:rPr>
          <w:rFonts w:hint="eastAsia" w:ascii="Arial" w:hAnsi="Arial" w:cs="Arial"/>
          <w:color w:val="auto"/>
          <w:szCs w:val="21"/>
          <w:highlight w:val="none"/>
        </w:rPr>
      </w:pPr>
      <w:r>
        <w:rPr>
          <w:rFonts w:ascii="Arial" w:hAnsi="Arial" w:cs="Arial"/>
          <w:color w:val="auto"/>
          <w:szCs w:val="21"/>
          <w:highlight w:val="none"/>
        </w:rPr>
        <w:t>项目编号：</w:t>
      </w:r>
      <w:r>
        <w:rPr>
          <w:rFonts w:hint="eastAsia" w:ascii="Arial" w:hAnsi="Arial" w:cs="Arial"/>
          <w:color w:val="auto"/>
          <w:szCs w:val="21"/>
          <w:highlight w:val="none"/>
        </w:rPr>
        <w:t>GXJD-25133CC030940</w:t>
      </w:r>
    </w:p>
    <w:p>
      <w:pPr>
        <w:spacing w:line="312" w:lineRule="auto"/>
        <w:ind w:firstLine="420" w:firstLineChars="200"/>
        <w:jc w:val="left"/>
        <w:rPr>
          <w:rFonts w:hint="eastAsia"/>
          <w:color w:val="auto"/>
          <w:kern w:val="0"/>
          <w:szCs w:val="21"/>
          <w:highlight w:val="none"/>
        </w:rPr>
      </w:pPr>
      <w:r>
        <w:rPr>
          <w:color w:val="auto"/>
          <w:kern w:val="0"/>
          <w:szCs w:val="21"/>
          <w:highlight w:val="none"/>
        </w:rPr>
        <w:t>项目名称：</w:t>
      </w:r>
      <w:r>
        <w:rPr>
          <w:rFonts w:hint="eastAsia"/>
          <w:color w:val="auto"/>
          <w:kern w:val="0"/>
          <w:szCs w:val="21"/>
          <w:highlight w:val="none"/>
        </w:rPr>
        <w:t>灵川县中医医院中药饮片代煎服务</w:t>
      </w:r>
    </w:p>
    <w:p>
      <w:pPr>
        <w:spacing w:line="312" w:lineRule="auto"/>
        <w:ind w:firstLine="420" w:firstLineChars="200"/>
        <w:jc w:val="left"/>
        <w:rPr>
          <w:color w:val="auto"/>
          <w:kern w:val="0"/>
          <w:szCs w:val="21"/>
          <w:highlight w:val="none"/>
        </w:rPr>
      </w:pPr>
      <w:r>
        <w:rPr>
          <w:rFonts w:hint="eastAsia"/>
          <w:color w:val="auto"/>
          <w:kern w:val="0"/>
          <w:szCs w:val="21"/>
          <w:highlight w:val="none"/>
        </w:rPr>
        <w:t>采购方式：竞争性磋商</w:t>
      </w:r>
    </w:p>
    <w:p>
      <w:pPr>
        <w:spacing w:line="312" w:lineRule="auto"/>
        <w:ind w:firstLine="420" w:firstLineChars="200"/>
        <w:jc w:val="left"/>
        <w:rPr>
          <w:rFonts w:ascii="Arial" w:hAnsi="Arial" w:cs="Arial"/>
          <w:color w:val="auto"/>
          <w:kern w:val="0"/>
          <w:szCs w:val="21"/>
          <w:highlight w:val="none"/>
        </w:rPr>
      </w:pPr>
      <w:r>
        <w:rPr>
          <w:color w:val="auto"/>
          <w:kern w:val="0"/>
          <w:szCs w:val="21"/>
          <w:highlight w:val="none"/>
        </w:rPr>
        <w:t>预算金额</w:t>
      </w:r>
      <w:r>
        <w:rPr>
          <w:rFonts w:ascii="Arial" w:hAnsi="Arial" w:cs="Arial"/>
          <w:color w:val="auto"/>
          <w:kern w:val="0"/>
          <w:szCs w:val="21"/>
          <w:highlight w:val="none"/>
        </w:rPr>
        <w:t xml:space="preserve">：5元/剂 </w:t>
      </w:r>
    </w:p>
    <w:p>
      <w:pPr>
        <w:spacing w:line="312" w:lineRule="auto"/>
        <w:ind w:firstLine="420" w:firstLineChars="200"/>
        <w:jc w:val="left"/>
        <w:rPr>
          <w:rFonts w:ascii="Arial" w:hAnsi="Arial" w:cs="Arial"/>
          <w:color w:val="auto"/>
          <w:kern w:val="0"/>
          <w:szCs w:val="21"/>
          <w:highlight w:val="none"/>
        </w:rPr>
      </w:pPr>
      <w:r>
        <w:rPr>
          <w:rFonts w:ascii="Arial" w:hAnsi="Arial" w:cs="Arial"/>
          <w:color w:val="auto"/>
          <w:kern w:val="0"/>
          <w:szCs w:val="21"/>
          <w:highlight w:val="none"/>
        </w:rPr>
        <w:t>采购需求：</w:t>
      </w:r>
      <w:bookmarkStart w:id="7" w:name="_Hlk77608065"/>
      <w:r>
        <w:rPr>
          <w:rFonts w:ascii="Arial" w:hAnsi="Arial" w:cs="Arial"/>
          <w:color w:val="auto"/>
          <w:kern w:val="0"/>
          <w:szCs w:val="21"/>
          <w:highlight w:val="none"/>
        </w:rPr>
        <w:t>本项目选取一家供应商作为</w:t>
      </w:r>
      <w:r>
        <w:rPr>
          <w:rFonts w:hint="eastAsia" w:ascii="Arial" w:hAnsi="Arial" w:cs="Arial"/>
          <w:color w:val="auto"/>
          <w:kern w:val="0"/>
          <w:szCs w:val="21"/>
          <w:highlight w:val="none"/>
        </w:rPr>
        <w:t>成交</w:t>
      </w:r>
      <w:r>
        <w:rPr>
          <w:rFonts w:ascii="Arial" w:hAnsi="Arial" w:cs="Arial"/>
          <w:color w:val="auto"/>
          <w:kern w:val="0"/>
          <w:szCs w:val="21"/>
          <w:highlight w:val="none"/>
        </w:rPr>
        <w:t>供应商</w:t>
      </w:r>
      <w:r>
        <w:rPr>
          <w:rFonts w:hint="eastAsia" w:ascii="Arial" w:hAnsi="Arial" w:cs="Arial"/>
          <w:color w:val="auto"/>
          <w:kern w:val="0"/>
          <w:szCs w:val="21"/>
          <w:highlight w:val="none"/>
        </w:rPr>
        <w:t>，为灵川县中医医院提供中药饮片代煎服务</w:t>
      </w:r>
      <w:r>
        <w:rPr>
          <w:rFonts w:ascii="Arial" w:hAnsi="Arial" w:cs="Arial"/>
          <w:color w:val="auto"/>
          <w:kern w:val="0"/>
          <w:szCs w:val="21"/>
          <w:highlight w:val="none"/>
        </w:rPr>
        <w:t>，如需进一步了解详细内容，详见磋商文件。</w:t>
      </w:r>
    </w:p>
    <w:p>
      <w:pPr>
        <w:spacing w:line="312" w:lineRule="auto"/>
        <w:ind w:firstLine="420" w:firstLineChars="200"/>
        <w:jc w:val="left"/>
        <w:rPr>
          <w:rFonts w:hint="eastAsia" w:ascii="Arial" w:hAnsi="Arial" w:cs="Arial"/>
          <w:color w:val="auto"/>
          <w:kern w:val="0"/>
          <w:szCs w:val="21"/>
          <w:highlight w:val="none"/>
        </w:rPr>
      </w:pPr>
      <w:r>
        <w:rPr>
          <w:rFonts w:ascii="Arial" w:hAnsi="Arial" w:cs="Arial"/>
          <w:color w:val="auto"/>
          <w:kern w:val="0"/>
          <w:szCs w:val="21"/>
          <w:highlight w:val="none"/>
        </w:rPr>
        <w:t xml:space="preserve">最高限价：5元/剂 </w:t>
      </w:r>
    </w:p>
    <w:p>
      <w:pPr>
        <w:spacing w:line="312" w:lineRule="auto"/>
        <w:ind w:firstLine="420" w:firstLineChars="200"/>
        <w:jc w:val="left"/>
        <w:rPr>
          <w:color w:val="auto"/>
          <w:kern w:val="0"/>
          <w:szCs w:val="21"/>
          <w:highlight w:val="none"/>
        </w:rPr>
      </w:pPr>
      <w:r>
        <w:rPr>
          <w:rFonts w:hint="eastAsia"/>
          <w:color w:val="auto"/>
          <w:kern w:val="0"/>
          <w:szCs w:val="21"/>
          <w:highlight w:val="none"/>
        </w:rPr>
        <w:t>合同履约期限：</w:t>
      </w:r>
      <w:r>
        <w:rPr>
          <w:rFonts w:hint="eastAsia"/>
          <w:color w:val="auto"/>
          <w:kern w:val="0"/>
          <w:szCs w:val="21"/>
          <w:highlight w:val="none"/>
          <w:lang w:eastAsia="zh-CN"/>
        </w:rPr>
        <w:t>自签订合同之日起两年</w:t>
      </w:r>
      <w:r>
        <w:rPr>
          <w:rFonts w:hint="eastAsia"/>
          <w:color w:val="auto"/>
          <w:kern w:val="0"/>
          <w:szCs w:val="21"/>
          <w:highlight w:val="none"/>
        </w:rPr>
        <w:t>。</w:t>
      </w:r>
    </w:p>
    <w:bookmarkEnd w:id="7"/>
    <w:p>
      <w:pPr>
        <w:spacing w:line="288" w:lineRule="auto"/>
        <w:rPr>
          <w:rFonts w:ascii="Arial" w:hAnsi="Arial" w:cs="Arial"/>
          <w:b/>
          <w:bCs/>
          <w:color w:val="auto"/>
          <w:szCs w:val="21"/>
          <w:highlight w:val="none"/>
        </w:rPr>
      </w:pPr>
      <w:r>
        <w:rPr>
          <w:rFonts w:hint="eastAsia" w:ascii="Arial" w:hAnsi="Arial" w:cs="Arial"/>
          <w:b/>
          <w:bCs/>
          <w:color w:val="auto"/>
          <w:szCs w:val="21"/>
          <w:highlight w:val="none"/>
        </w:rPr>
        <w:t>二</w:t>
      </w:r>
      <w:r>
        <w:rPr>
          <w:rFonts w:ascii="Arial" w:hAnsi="Arial" w:cs="Arial"/>
          <w:b/>
          <w:bCs/>
          <w:color w:val="auto"/>
          <w:szCs w:val="21"/>
          <w:highlight w:val="none"/>
        </w:rPr>
        <w:t>、供应商的资格要求：</w:t>
      </w:r>
    </w:p>
    <w:p>
      <w:pPr>
        <w:spacing w:line="288" w:lineRule="auto"/>
        <w:ind w:firstLine="420" w:firstLineChars="200"/>
        <w:jc w:val="left"/>
        <w:rPr>
          <w:rFonts w:ascii="Arial" w:hAnsi="Arial" w:cs="Arial"/>
          <w:color w:val="auto"/>
          <w:kern w:val="0"/>
          <w:szCs w:val="21"/>
          <w:highlight w:val="none"/>
        </w:rPr>
      </w:pPr>
      <w:r>
        <w:rPr>
          <w:rFonts w:ascii="Arial" w:hAnsi="Arial" w:cs="Arial"/>
          <w:color w:val="auto"/>
          <w:kern w:val="0"/>
          <w:szCs w:val="21"/>
          <w:highlight w:val="none"/>
        </w:rPr>
        <w:t>1.基本资格条件：</w:t>
      </w:r>
    </w:p>
    <w:p>
      <w:pPr>
        <w:spacing w:line="288" w:lineRule="auto"/>
        <w:ind w:firstLine="420" w:firstLineChars="200"/>
        <w:jc w:val="left"/>
        <w:rPr>
          <w:rFonts w:ascii="Arial" w:hAnsi="Arial" w:cs="Arial"/>
          <w:color w:val="auto"/>
          <w:kern w:val="0"/>
          <w:szCs w:val="21"/>
          <w:highlight w:val="none"/>
        </w:rPr>
      </w:pPr>
      <w:r>
        <w:rPr>
          <w:rFonts w:ascii="Arial" w:hAnsi="Arial" w:cs="Arial"/>
          <w:color w:val="auto"/>
          <w:kern w:val="0"/>
          <w:szCs w:val="21"/>
          <w:highlight w:val="none"/>
        </w:rPr>
        <w:t>1.1供应商为在国内注册，生产或经营本次采购内容并具备独立企业法人资格的供应商。</w:t>
      </w:r>
    </w:p>
    <w:p>
      <w:pPr>
        <w:spacing w:line="288" w:lineRule="auto"/>
        <w:ind w:firstLine="420" w:firstLineChars="200"/>
        <w:jc w:val="left"/>
        <w:rPr>
          <w:rFonts w:ascii="Arial" w:hAnsi="Arial" w:cs="Arial"/>
          <w:color w:val="auto"/>
          <w:kern w:val="0"/>
          <w:szCs w:val="21"/>
          <w:highlight w:val="none"/>
        </w:rPr>
      </w:pPr>
      <w:r>
        <w:rPr>
          <w:rFonts w:ascii="Arial" w:hAnsi="Arial" w:cs="Arial"/>
          <w:color w:val="auto"/>
          <w:kern w:val="0"/>
          <w:szCs w:val="21"/>
          <w:highlight w:val="none"/>
        </w:rPr>
        <w:t>1.2特定资格条件：</w:t>
      </w:r>
    </w:p>
    <w:p>
      <w:pPr>
        <w:spacing w:line="288" w:lineRule="auto"/>
        <w:ind w:firstLine="420" w:firstLineChars="200"/>
        <w:jc w:val="left"/>
        <w:rPr>
          <w:rFonts w:ascii="Arial" w:hAnsi="Arial" w:cs="Arial"/>
          <w:color w:val="auto"/>
          <w:kern w:val="0"/>
          <w:szCs w:val="21"/>
          <w:highlight w:val="none"/>
        </w:rPr>
      </w:pPr>
      <w:r>
        <w:rPr>
          <w:rFonts w:hint="eastAsia" w:ascii="Arial" w:hAnsi="Arial" w:cs="Arial"/>
          <w:color w:val="auto"/>
          <w:kern w:val="0"/>
          <w:szCs w:val="21"/>
          <w:highlight w:val="none"/>
        </w:rPr>
        <w:t>（1）</w:t>
      </w:r>
      <w:r>
        <w:rPr>
          <w:rFonts w:ascii="Arial" w:hAnsi="Arial" w:cs="Arial"/>
          <w:color w:val="auto"/>
          <w:kern w:val="0"/>
          <w:szCs w:val="21"/>
          <w:highlight w:val="none"/>
        </w:rPr>
        <w:t>资质要求：</w:t>
      </w:r>
      <w:r>
        <w:rPr>
          <w:rFonts w:hint="eastAsia" w:ascii="Arial" w:hAnsi="Arial" w:cs="Arial"/>
          <w:color w:val="auto"/>
          <w:kern w:val="0"/>
          <w:szCs w:val="21"/>
          <w:highlight w:val="none"/>
        </w:rPr>
        <w:t>供应商取得《广西中药饮片代煎质量管理规范（试行）》要求的认证资格或承诺成交后三个月内能在桂林设有代煎服务点并通过《广西中药饮片代煎质量管理规范（试行）》要求的认证资格。</w:t>
      </w:r>
    </w:p>
    <w:p>
      <w:pPr>
        <w:spacing w:line="288" w:lineRule="auto"/>
        <w:ind w:firstLine="420" w:firstLineChars="200"/>
        <w:jc w:val="left"/>
        <w:rPr>
          <w:rFonts w:hint="eastAsia" w:ascii="Arial" w:hAnsi="Arial" w:cs="Arial"/>
          <w:color w:val="auto"/>
          <w:kern w:val="0"/>
          <w:szCs w:val="21"/>
          <w:highlight w:val="none"/>
        </w:rPr>
      </w:pPr>
      <w:r>
        <w:rPr>
          <w:rFonts w:hint="eastAsia" w:ascii="Arial" w:hAnsi="Arial" w:cs="Arial"/>
          <w:color w:val="auto"/>
          <w:kern w:val="0"/>
          <w:szCs w:val="21"/>
          <w:highlight w:val="none"/>
        </w:rPr>
        <w:t>（2）业绩要求：</w:t>
      </w:r>
      <w:bookmarkStart w:id="8" w:name="业绩要求"/>
      <w:r>
        <w:rPr>
          <w:rFonts w:hint="eastAsia" w:ascii="Arial" w:hAnsi="Arial" w:cs="Arial"/>
          <w:color w:val="auto"/>
          <w:kern w:val="0"/>
          <w:szCs w:val="21"/>
          <w:highlight w:val="none"/>
        </w:rPr>
        <w:t>无。</w:t>
      </w:r>
      <w:bookmarkEnd w:id="8"/>
    </w:p>
    <w:p>
      <w:pPr>
        <w:spacing w:line="288" w:lineRule="auto"/>
        <w:ind w:firstLine="420" w:firstLineChars="200"/>
        <w:jc w:val="left"/>
        <w:rPr>
          <w:rFonts w:hint="eastAsia" w:ascii="Arial" w:hAnsi="Arial" w:cs="Arial"/>
          <w:color w:val="auto"/>
          <w:kern w:val="0"/>
          <w:szCs w:val="21"/>
          <w:highlight w:val="none"/>
        </w:rPr>
      </w:pPr>
      <w:r>
        <w:rPr>
          <w:rFonts w:hint="eastAsia" w:ascii="Arial" w:hAnsi="Arial" w:cs="Arial"/>
          <w:color w:val="auto"/>
          <w:kern w:val="0"/>
          <w:szCs w:val="21"/>
          <w:highlight w:val="none"/>
        </w:rPr>
        <w:t>（3）单位负责人为同一人或者存在直接控股、管理关系的不同供应商，不得参加本项目同一合同项下的采购活动。为本项目提供整体设计、规范编制或者项目管理、监理、检测等服务的供应商，不得再参加本项目的采购活动。</w:t>
      </w:r>
    </w:p>
    <w:p>
      <w:pPr>
        <w:spacing w:line="288" w:lineRule="auto"/>
        <w:ind w:firstLine="420" w:firstLineChars="200"/>
        <w:jc w:val="left"/>
        <w:rPr>
          <w:rFonts w:hint="eastAsia" w:ascii="Arial" w:hAnsi="Arial" w:cs="Arial"/>
          <w:color w:val="auto"/>
          <w:kern w:val="0"/>
          <w:szCs w:val="21"/>
          <w:highlight w:val="none"/>
        </w:rPr>
      </w:pPr>
      <w:r>
        <w:rPr>
          <w:rFonts w:hint="eastAsia" w:ascii="Arial" w:hAnsi="Arial" w:cs="Arial"/>
          <w:color w:val="auto"/>
          <w:kern w:val="0"/>
          <w:szCs w:val="21"/>
          <w:highlight w:val="none"/>
        </w:rPr>
        <w:t>（4）未被列入失信被执行人、重大税收违法失信主体、政府采购严重违法失信行为记录名单。</w:t>
      </w:r>
    </w:p>
    <w:p>
      <w:pPr>
        <w:spacing w:line="288" w:lineRule="auto"/>
        <w:ind w:firstLine="420" w:firstLineChars="200"/>
        <w:jc w:val="left"/>
        <w:rPr>
          <w:rFonts w:hint="eastAsia" w:ascii="Arial" w:hAnsi="Arial" w:cs="Arial"/>
          <w:color w:val="auto"/>
          <w:kern w:val="0"/>
          <w:szCs w:val="21"/>
          <w:highlight w:val="none"/>
        </w:rPr>
      </w:pPr>
      <w:r>
        <w:rPr>
          <w:rFonts w:hint="eastAsia" w:ascii="Arial" w:hAnsi="Arial" w:cs="Arial"/>
          <w:color w:val="auto"/>
          <w:kern w:val="0"/>
          <w:szCs w:val="21"/>
          <w:highlight w:val="none"/>
        </w:rPr>
        <w:t>（5）按照磋商公告的规定获得磋商文件。</w:t>
      </w:r>
      <w:bookmarkStart w:id="9" w:name="_Hlk92967676"/>
      <w:r>
        <w:rPr>
          <w:rFonts w:hint="eastAsia" w:ascii="Arial" w:hAnsi="Arial" w:cs="Arial"/>
          <w:color w:val="auto"/>
          <w:kern w:val="0"/>
          <w:szCs w:val="21"/>
          <w:highlight w:val="none"/>
        </w:rPr>
        <w:t>磋商文件有规定时按要求提交磋商保证金。</w:t>
      </w:r>
      <w:bookmarkEnd w:id="9"/>
    </w:p>
    <w:p>
      <w:pPr>
        <w:spacing w:line="288" w:lineRule="auto"/>
        <w:ind w:firstLine="420" w:firstLineChars="200"/>
        <w:jc w:val="left"/>
        <w:rPr>
          <w:rFonts w:hint="eastAsia" w:ascii="Arial" w:hAnsi="Arial" w:cs="Arial"/>
          <w:color w:val="auto"/>
          <w:kern w:val="0"/>
          <w:szCs w:val="21"/>
          <w:highlight w:val="none"/>
        </w:rPr>
      </w:pPr>
      <w:r>
        <w:rPr>
          <w:rFonts w:hint="eastAsia" w:ascii="Arial" w:hAnsi="Arial" w:cs="Arial"/>
          <w:color w:val="auto"/>
          <w:kern w:val="0"/>
          <w:szCs w:val="21"/>
          <w:highlight w:val="none"/>
        </w:rPr>
        <w:t>（6）本项目不接受联合体磋商。</w:t>
      </w:r>
    </w:p>
    <w:p>
      <w:pPr>
        <w:spacing w:line="288" w:lineRule="auto"/>
        <w:rPr>
          <w:rFonts w:ascii="Arial" w:hAnsi="Arial" w:cs="Arial"/>
          <w:b/>
          <w:bCs/>
          <w:color w:val="auto"/>
          <w:szCs w:val="21"/>
          <w:highlight w:val="none"/>
        </w:rPr>
      </w:pPr>
      <w:r>
        <w:rPr>
          <w:rFonts w:hint="eastAsia" w:ascii="Arial" w:hAnsi="Arial" w:cs="Arial"/>
          <w:b/>
          <w:bCs/>
          <w:color w:val="auto"/>
          <w:szCs w:val="21"/>
          <w:highlight w:val="none"/>
        </w:rPr>
        <w:t>三</w:t>
      </w:r>
      <w:r>
        <w:rPr>
          <w:rFonts w:ascii="Arial" w:hAnsi="Arial" w:cs="Arial"/>
          <w:b/>
          <w:bCs/>
          <w:color w:val="auto"/>
          <w:szCs w:val="21"/>
          <w:highlight w:val="none"/>
        </w:rPr>
        <w:t>、磋商文件的</w:t>
      </w:r>
      <w:r>
        <w:rPr>
          <w:rFonts w:ascii="Arial" w:hAnsi="Arial" w:cs="Arial"/>
          <w:b/>
          <w:bCs/>
          <w:color w:val="auto"/>
          <w:kern w:val="0"/>
          <w:szCs w:val="21"/>
          <w:highlight w:val="none"/>
        </w:rPr>
        <w:t>获取</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1.时间：202</w:t>
      </w:r>
      <w:r>
        <w:rPr>
          <w:rFonts w:hint="eastAsia" w:ascii="Arial" w:hAnsi="Arial"/>
          <w:color w:val="auto"/>
          <w:szCs w:val="21"/>
          <w:highlight w:val="none"/>
        </w:rPr>
        <w:t>5</w:t>
      </w:r>
      <w:r>
        <w:rPr>
          <w:rFonts w:ascii="Arial" w:hAnsi="Arial"/>
          <w:color w:val="auto"/>
          <w:szCs w:val="21"/>
          <w:highlight w:val="none"/>
        </w:rPr>
        <w:t>年</w:t>
      </w:r>
      <w:r>
        <w:rPr>
          <w:rFonts w:hint="eastAsia" w:ascii="Arial" w:hAnsi="Arial"/>
          <w:color w:val="auto"/>
          <w:szCs w:val="21"/>
          <w:highlight w:val="none"/>
          <w:lang w:val="en-US" w:eastAsia="zh-CN"/>
        </w:rPr>
        <w:t>7</w:t>
      </w:r>
      <w:r>
        <w:rPr>
          <w:rFonts w:hint="eastAsia" w:ascii="Arial" w:hAnsi="Arial"/>
          <w:color w:val="auto"/>
          <w:szCs w:val="21"/>
          <w:highlight w:val="none"/>
        </w:rPr>
        <w:t>月</w:t>
      </w:r>
      <w:r>
        <w:rPr>
          <w:rFonts w:hint="eastAsia" w:ascii="Arial" w:hAnsi="Arial"/>
          <w:color w:val="auto"/>
          <w:szCs w:val="21"/>
          <w:highlight w:val="none"/>
          <w:lang w:val="en-US" w:eastAsia="zh-CN"/>
        </w:rPr>
        <w:t>21</w:t>
      </w:r>
      <w:r>
        <w:rPr>
          <w:rFonts w:hint="eastAsia" w:ascii="Arial" w:hAnsi="Arial"/>
          <w:color w:val="auto"/>
          <w:szCs w:val="21"/>
          <w:highlight w:val="none"/>
        </w:rPr>
        <w:t>日</w:t>
      </w:r>
      <w:r>
        <w:rPr>
          <w:rFonts w:ascii="Arial" w:hAnsi="Arial"/>
          <w:color w:val="auto"/>
          <w:szCs w:val="21"/>
          <w:highlight w:val="none"/>
        </w:rPr>
        <w:t>至202</w:t>
      </w:r>
      <w:r>
        <w:rPr>
          <w:rFonts w:hint="eastAsia" w:ascii="Arial" w:hAnsi="Arial"/>
          <w:color w:val="auto"/>
          <w:szCs w:val="21"/>
          <w:highlight w:val="none"/>
        </w:rPr>
        <w:t>5</w:t>
      </w:r>
      <w:r>
        <w:rPr>
          <w:rFonts w:ascii="Arial" w:hAnsi="Arial"/>
          <w:color w:val="auto"/>
          <w:szCs w:val="21"/>
          <w:highlight w:val="none"/>
        </w:rPr>
        <w:t>年</w:t>
      </w:r>
      <w:r>
        <w:rPr>
          <w:rFonts w:hint="eastAsia" w:ascii="Arial" w:hAnsi="Arial"/>
          <w:color w:val="auto"/>
          <w:szCs w:val="21"/>
          <w:highlight w:val="none"/>
          <w:lang w:val="en-US" w:eastAsia="zh-CN"/>
        </w:rPr>
        <w:t>7</w:t>
      </w:r>
      <w:r>
        <w:rPr>
          <w:rFonts w:hint="eastAsia" w:ascii="Arial" w:hAnsi="Arial"/>
          <w:color w:val="auto"/>
          <w:szCs w:val="21"/>
          <w:highlight w:val="none"/>
        </w:rPr>
        <w:t>月</w:t>
      </w:r>
      <w:r>
        <w:rPr>
          <w:rFonts w:hint="eastAsia" w:ascii="Arial" w:hAnsi="Arial"/>
          <w:color w:val="auto"/>
          <w:szCs w:val="21"/>
          <w:highlight w:val="none"/>
          <w:lang w:val="en-US" w:eastAsia="zh-CN"/>
        </w:rPr>
        <w:t>28</w:t>
      </w:r>
      <w:r>
        <w:rPr>
          <w:rFonts w:hint="eastAsia" w:ascii="Arial" w:hAnsi="Arial"/>
          <w:color w:val="auto"/>
          <w:szCs w:val="21"/>
          <w:highlight w:val="none"/>
        </w:rPr>
        <w:t>日</w:t>
      </w:r>
      <w:r>
        <w:rPr>
          <w:rFonts w:ascii="Arial" w:hAnsi="Arial"/>
          <w:color w:val="auto"/>
          <w:szCs w:val="21"/>
          <w:highlight w:val="none"/>
        </w:rPr>
        <w:t>，上午8：30~12：00，下午14：30~17：30（双休日和法定节假日除外）。</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2.本项目磋商文件获取方式：</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本项目不提供纸质文件，有意向的供应商请在上述时间内登录精彩纵横云采购平台网站(网址: https://www.yingcaicheng.com/)公告查看页面点击“立即参与”，在网上缴纳标书款并获取电子磋商文件及其它资料。(未注册的供应商须先完成注册登记并通过审核)</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（1）售价：每套300元，售后不退。文件发票可于付款后在平台申请开具，增值税电子普通发票通过电子邮箱及手机短信发送。</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（2）供应商需在云采购平台上传证明文件并提交审核，审核通过后即可购买磋商文件。</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证明文件：①主体资格证明（如营业执照、事业单位法人证书、执业许可证等）；②法定代表人身份证；③委托代理人身份证及法定代表人授权书。以上证明文件要求为原件的清晰扫描件。</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 xml:space="preserve">备注： </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1)具体注册事宜可登录精彩纵横云采购平台网站 (https://www.yingcaicheng.com/) 查看“帮助专区”;</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2)相关问题也可拨打咨询电话: 400-8566-100 (注册咨询电话，晚上21: 00前)，咨询QQ: 2307583988、811028657、3132922569;</w:t>
      </w:r>
    </w:p>
    <w:p>
      <w:pPr>
        <w:tabs>
          <w:tab w:val="left" w:pos="7200"/>
        </w:tabs>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3)以上手续必须在磋商文件发售期内完成，因未及时办理注册审核手续影响文件获取及参加磋商的，责任自负。</w:t>
      </w:r>
    </w:p>
    <w:p>
      <w:pPr>
        <w:snapToGrid w:val="0"/>
        <w:spacing w:line="312" w:lineRule="auto"/>
        <w:ind w:firstLine="422" w:firstLineChars="200"/>
        <w:rPr>
          <w:rFonts w:ascii="Arial" w:hAnsi="Arial"/>
          <w:b/>
          <w:bCs/>
          <w:color w:val="auto"/>
          <w:kern w:val="0"/>
          <w:szCs w:val="21"/>
          <w:highlight w:val="none"/>
        </w:rPr>
      </w:pPr>
      <w:r>
        <w:rPr>
          <w:rFonts w:ascii="Arial" w:hAnsi="Arial"/>
          <w:b/>
          <w:bCs/>
          <w:color w:val="auto"/>
          <w:kern w:val="0"/>
          <w:szCs w:val="21"/>
          <w:highlight w:val="none"/>
        </w:rPr>
        <w:t>备注：资料不齐全者不能获取磋商文件。采购代理机构对资料的审验并不作为供应商资格条件的最终认定，供应商应对资料的真实性、合规性负责；开标后，仍将由磋商小组对供应商的资格证明材料进行资格审核，不符合项目资格要求的供应商的响应将被拒绝。</w:t>
      </w:r>
    </w:p>
    <w:p>
      <w:pPr>
        <w:spacing w:line="288" w:lineRule="auto"/>
        <w:jc w:val="left"/>
        <w:rPr>
          <w:rFonts w:ascii="Arial" w:hAnsi="Arial" w:cs="Arial"/>
          <w:b/>
          <w:bCs/>
          <w:color w:val="auto"/>
          <w:szCs w:val="21"/>
          <w:highlight w:val="none"/>
        </w:rPr>
      </w:pPr>
      <w:r>
        <w:rPr>
          <w:rFonts w:hint="eastAsia" w:ascii="Arial" w:hAnsi="Arial" w:cs="Arial"/>
          <w:b/>
          <w:bCs/>
          <w:color w:val="auto"/>
          <w:szCs w:val="21"/>
          <w:highlight w:val="none"/>
        </w:rPr>
        <w:t>四</w:t>
      </w:r>
      <w:r>
        <w:rPr>
          <w:rFonts w:ascii="Arial" w:hAnsi="Arial" w:cs="Arial"/>
          <w:b/>
          <w:bCs/>
          <w:color w:val="auto"/>
          <w:szCs w:val="21"/>
          <w:highlight w:val="none"/>
        </w:rPr>
        <w:t>、磋商保证金</w:t>
      </w:r>
    </w:p>
    <w:p>
      <w:pPr>
        <w:spacing w:line="288" w:lineRule="auto"/>
        <w:ind w:firstLine="449" w:firstLineChars="214"/>
        <w:rPr>
          <w:rFonts w:hint="eastAsia" w:ascii="Arial" w:hAnsi="Arial" w:cs="Arial"/>
          <w:color w:val="auto"/>
          <w:szCs w:val="21"/>
          <w:highlight w:val="none"/>
        </w:rPr>
      </w:pPr>
      <w:r>
        <w:rPr>
          <w:rFonts w:ascii="Arial" w:hAnsi="Arial" w:cs="Arial"/>
          <w:color w:val="auto"/>
          <w:szCs w:val="21"/>
          <w:highlight w:val="none"/>
        </w:rPr>
        <w:t>（1）金额：</w:t>
      </w:r>
      <w:r>
        <w:rPr>
          <w:rFonts w:hint="eastAsia" w:ascii="Arial" w:hAnsi="Arial" w:cs="Arial"/>
          <w:color w:val="auto"/>
          <w:szCs w:val="21"/>
          <w:highlight w:val="none"/>
        </w:rPr>
        <w:t>人民币叁仟元整（¥3000.00）。</w:t>
      </w:r>
    </w:p>
    <w:p>
      <w:pPr>
        <w:spacing w:line="312" w:lineRule="auto"/>
        <w:ind w:firstLine="420" w:firstLineChars="200"/>
        <w:jc w:val="left"/>
        <w:rPr>
          <w:rFonts w:ascii="Arial" w:hAnsi="Arial" w:cs="Arial"/>
          <w:color w:val="auto"/>
          <w:kern w:val="0"/>
          <w:szCs w:val="21"/>
          <w:highlight w:val="none"/>
        </w:rPr>
      </w:pPr>
      <w:r>
        <w:rPr>
          <w:rFonts w:ascii="Arial" w:hAnsi="Arial" w:cs="Arial"/>
          <w:color w:val="auto"/>
          <w:szCs w:val="21"/>
          <w:highlight w:val="none"/>
        </w:rPr>
        <w:t>（2）</w:t>
      </w:r>
      <w:r>
        <w:rPr>
          <w:rFonts w:ascii="Arial" w:hAnsi="Arial" w:cs="Arial"/>
          <w:color w:val="auto"/>
          <w:kern w:val="0"/>
          <w:szCs w:val="21"/>
          <w:highlight w:val="none"/>
        </w:rPr>
        <w:t>供应商应于截标时间前将磋商保证金以电汇、转账形式从供应商账户一次性足额交纳至本项目对应的专用虚拟账号，所交纳的磋商保证金仅限当次项目有效，不得重复替代使用。本项目磋商保证金交纳专用虚拟账号信息如下：</w:t>
      </w:r>
    </w:p>
    <w:p>
      <w:pPr>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开户名称：广西机电设备招标有限公司；</w:t>
      </w:r>
    </w:p>
    <w:p>
      <w:pPr>
        <w:snapToGrid w:val="0"/>
        <w:spacing w:line="312" w:lineRule="auto"/>
        <w:ind w:firstLine="420" w:firstLineChars="200"/>
        <w:rPr>
          <w:rFonts w:ascii="Arial" w:hAnsi="Arial"/>
          <w:color w:val="auto"/>
          <w:szCs w:val="21"/>
          <w:highlight w:val="none"/>
        </w:rPr>
      </w:pPr>
      <w:r>
        <w:rPr>
          <w:rFonts w:ascii="Arial" w:hAnsi="Arial"/>
          <w:color w:val="auto"/>
          <w:szCs w:val="21"/>
          <w:highlight w:val="none"/>
        </w:rPr>
        <w:t>开户银行：平安银行南宁分行营业部；</w:t>
      </w:r>
    </w:p>
    <w:p>
      <w:pPr>
        <w:snapToGrid w:val="0"/>
        <w:spacing w:line="312" w:lineRule="auto"/>
        <w:ind w:firstLine="420" w:firstLineChars="200"/>
        <w:rPr>
          <w:rFonts w:hint="eastAsia" w:ascii="Arial" w:hAnsi="Arial"/>
          <w:color w:val="auto"/>
          <w:szCs w:val="21"/>
          <w:highlight w:val="none"/>
        </w:rPr>
      </w:pPr>
      <w:r>
        <w:rPr>
          <w:rFonts w:ascii="Arial" w:hAnsi="Arial"/>
          <w:color w:val="auto"/>
          <w:szCs w:val="21"/>
          <w:highlight w:val="none"/>
        </w:rPr>
        <w:t>开户账号：</w:t>
      </w:r>
      <w:r>
        <w:rPr>
          <w:rFonts w:hint="eastAsia" w:ascii="Arial" w:hAnsi="Arial"/>
          <w:color w:val="auto"/>
          <w:szCs w:val="21"/>
          <w:highlight w:val="none"/>
        </w:rPr>
        <w:t>30210485516323</w:t>
      </w:r>
    </w:p>
    <w:p>
      <w:pPr>
        <w:spacing w:line="312" w:lineRule="auto"/>
        <w:ind w:firstLine="420" w:firstLineChars="200"/>
        <w:jc w:val="left"/>
        <w:rPr>
          <w:rFonts w:ascii="Arial" w:hAnsi="Arial" w:cs="Arial"/>
          <w:color w:val="auto"/>
          <w:kern w:val="0"/>
          <w:szCs w:val="21"/>
          <w:highlight w:val="none"/>
        </w:rPr>
      </w:pPr>
      <w:r>
        <w:rPr>
          <w:rFonts w:ascii="Arial" w:hAnsi="Arial"/>
          <w:color w:val="auto"/>
          <w:szCs w:val="21"/>
          <w:highlight w:val="none"/>
        </w:rPr>
        <w:t>特别说明：本项目保证金采用虚拟账号，为确保保证金与项目一一对应，保证金退还时将采用原路返回的方式，因此本项目不接受现金、汇票、支付宝微信等第三方支付形式递交的保证金。缴纳时应在“汇款用途”或“款项来源”栏注明“</w:t>
      </w:r>
      <w:r>
        <w:rPr>
          <w:rFonts w:hint="eastAsia" w:ascii="Arial" w:hAnsi="Arial"/>
          <w:b/>
          <w:color w:val="auto"/>
          <w:szCs w:val="21"/>
          <w:highlight w:val="none"/>
        </w:rPr>
        <w:t>2025-C030940</w:t>
      </w:r>
      <w:r>
        <w:rPr>
          <w:rFonts w:ascii="Arial" w:hAnsi="Arial"/>
          <w:color w:val="auto"/>
          <w:szCs w:val="21"/>
          <w:highlight w:val="none"/>
        </w:rPr>
        <w:t>保证金”字样。</w:t>
      </w:r>
    </w:p>
    <w:p>
      <w:pPr>
        <w:spacing w:line="288" w:lineRule="auto"/>
        <w:rPr>
          <w:rFonts w:ascii="Arial" w:hAnsi="Arial" w:cs="Arial"/>
          <w:b/>
          <w:bCs/>
          <w:color w:val="auto"/>
          <w:szCs w:val="21"/>
          <w:highlight w:val="none"/>
        </w:rPr>
      </w:pPr>
      <w:r>
        <w:rPr>
          <w:rFonts w:hint="eastAsia" w:ascii="Arial" w:hAnsi="Arial" w:cs="Arial"/>
          <w:b/>
          <w:bCs/>
          <w:color w:val="auto"/>
          <w:szCs w:val="21"/>
          <w:highlight w:val="none"/>
        </w:rPr>
        <w:t>五</w:t>
      </w:r>
      <w:r>
        <w:rPr>
          <w:rFonts w:ascii="Arial" w:hAnsi="Arial" w:cs="Arial"/>
          <w:b/>
          <w:bCs/>
          <w:color w:val="auto"/>
          <w:szCs w:val="21"/>
          <w:highlight w:val="none"/>
        </w:rPr>
        <w:t>、响应文件的首次递交截止时间和地点</w:t>
      </w:r>
    </w:p>
    <w:p>
      <w:pPr>
        <w:tabs>
          <w:tab w:val="left" w:pos="7200"/>
        </w:tabs>
        <w:spacing w:line="400" w:lineRule="exact"/>
        <w:ind w:firstLine="420" w:firstLineChars="200"/>
        <w:rPr>
          <w:rFonts w:ascii="Arial" w:hAnsi="Arial" w:cs="Arial"/>
          <w:color w:val="auto"/>
          <w:szCs w:val="21"/>
          <w:highlight w:val="none"/>
        </w:rPr>
      </w:pPr>
      <w:r>
        <w:rPr>
          <w:rFonts w:hint="eastAsia"/>
          <w:color w:val="auto"/>
          <w:kern w:val="0"/>
          <w:szCs w:val="21"/>
          <w:highlight w:val="none"/>
        </w:rPr>
        <w:t>响应文件递交截止时间</w:t>
      </w:r>
      <w:r>
        <w:rPr>
          <w:rFonts w:ascii="Arial" w:hAnsi="Arial" w:cs="Arial"/>
          <w:color w:val="auto"/>
          <w:szCs w:val="21"/>
          <w:highlight w:val="none"/>
        </w:rPr>
        <w:t>：</w:t>
      </w:r>
      <w:r>
        <w:rPr>
          <w:rFonts w:hint="eastAsia" w:ascii="Arial" w:hAnsi="Arial" w:cs="Arial"/>
          <w:color w:val="auto"/>
          <w:szCs w:val="21"/>
          <w:highlight w:val="none"/>
        </w:rPr>
        <w:t>2025年</w:t>
      </w:r>
      <w:r>
        <w:rPr>
          <w:rFonts w:hint="eastAsia" w:ascii="Arial" w:hAnsi="Arial" w:cs="Arial"/>
          <w:color w:val="auto"/>
          <w:szCs w:val="21"/>
          <w:highlight w:val="none"/>
          <w:lang w:val="en-US" w:eastAsia="zh-CN"/>
        </w:rPr>
        <w:t>10</w:t>
      </w:r>
      <w:r>
        <w:rPr>
          <w:rFonts w:hint="eastAsia" w:ascii="Arial" w:hAnsi="Arial" w:cs="Arial"/>
          <w:color w:val="auto"/>
          <w:szCs w:val="21"/>
          <w:highlight w:val="none"/>
        </w:rPr>
        <w:t>月</w:t>
      </w:r>
      <w:r>
        <w:rPr>
          <w:rFonts w:hint="eastAsia" w:ascii="Arial" w:hAnsi="Arial" w:cs="Arial"/>
          <w:color w:val="auto"/>
          <w:szCs w:val="21"/>
          <w:highlight w:val="none"/>
          <w:lang w:val="en-US" w:eastAsia="zh-CN"/>
        </w:rPr>
        <w:t>16</w:t>
      </w:r>
      <w:r>
        <w:rPr>
          <w:rFonts w:hint="eastAsia" w:ascii="Arial" w:hAnsi="Arial" w:cs="Arial"/>
          <w:color w:val="auto"/>
          <w:szCs w:val="21"/>
          <w:highlight w:val="none"/>
        </w:rPr>
        <w:t>日9</w:t>
      </w:r>
      <w:r>
        <w:rPr>
          <w:rFonts w:ascii="Arial" w:hAnsi="Arial" w:cs="Arial"/>
          <w:color w:val="auto"/>
          <w:szCs w:val="21"/>
          <w:highlight w:val="none"/>
        </w:rPr>
        <w:t>：</w:t>
      </w:r>
      <w:r>
        <w:rPr>
          <w:rFonts w:hint="eastAsia" w:ascii="Arial" w:hAnsi="Arial" w:cs="Arial"/>
          <w:color w:val="auto"/>
          <w:szCs w:val="21"/>
          <w:highlight w:val="none"/>
        </w:rPr>
        <w:t>3</w:t>
      </w:r>
      <w:r>
        <w:rPr>
          <w:rFonts w:ascii="Arial" w:hAnsi="Arial" w:cs="Arial"/>
          <w:color w:val="auto"/>
          <w:szCs w:val="21"/>
          <w:highlight w:val="none"/>
        </w:rPr>
        <w:t>0（</w:t>
      </w:r>
      <w:r>
        <w:rPr>
          <w:rFonts w:ascii="Arial" w:hAnsi="Arial" w:cs="Arial"/>
          <w:color w:val="auto"/>
          <w:szCs w:val="21"/>
          <w:highlight w:val="none"/>
        </w:rPr>
        <w:t>北京时间）。</w:t>
      </w:r>
    </w:p>
    <w:p>
      <w:pPr>
        <w:wordWrap w:val="0"/>
        <w:spacing w:line="288" w:lineRule="auto"/>
        <w:ind w:firstLine="238"/>
        <w:jc w:val="left"/>
        <w:rPr>
          <w:rFonts w:ascii="Arial" w:hAnsi="Arial" w:cs="Arial"/>
          <w:color w:val="auto"/>
          <w:kern w:val="0"/>
          <w:szCs w:val="21"/>
          <w:highlight w:val="none"/>
        </w:rPr>
      </w:pPr>
      <w:r>
        <w:rPr>
          <w:rFonts w:hint="eastAsia" w:ascii="Arial" w:hAnsi="Arial" w:cs="Arial"/>
          <w:color w:val="auto"/>
          <w:kern w:val="0"/>
          <w:szCs w:val="21"/>
          <w:highlight w:val="none"/>
        </w:rPr>
        <w:t>响应文件</w:t>
      </w:r>
      <w:r>
        <w:rPr>
          <w:rFonts w:ascii="Arial" w:hAnsi="Arial" w:cs="Arial"/>
          <w:color w:val="auto"/>
          <w:kern w:val="0"/>
          <w:szCs w:val="21"/>
          <w:highlight w:val="none"/>
        </w:rPr>
        <w:t>递交截止地点：桂林市骖鸾路31号湘商大厦6楼603广西机电设备招标有限公司桂林分公司</w:t>
      </w:r>
    </w:p>
    <w:p>
      <w:pPr>
        <w:wordWrap w:val="0"/>
        <w:spacing w:line="288" w:lineRule="auto"/>
        <w:ind w:firstLine="238"/>
        <w:jc w:val="left"/>
        <w:rPr>
          <w:rFonts w:ascii="Arial" w:hAnsi="Arial" w:cs="Arial"/>
          <w:b/>
          <w:bCs/>
          <w:color w:val="auto"/>
          <w:kern w:val="0"/>
          <w:szCs w:val="21"/>
          <w:highlight w:val="none"/>
        </w:rPr>
      </w:pPr>
      <w:r>
        <w:rPr>
          <w:rFonts w:hint="eastAsia" w:ascii="Arial" w:hAnsi="Arial" w:cs="Arial"/>
          <w:color w:val="auto"/>
          <w:kern w:val="0"/>
          <w:szCs w:val="21"/>
          <w:highlight w:val="none"/>
        </w:rPr>
        <w:t>响应</w:t>
      </w:r>
      <w:r>
        <w:rPr>
          <w:rFonts w:ascii="Arial" w:hAnsi="Arial" w:cs="Arial"/>
          <w:color w:val="auto"/>
          <w:kern w:val="0"/>
          <w:szCs w:val="21"/>
          <w:highlight w:val="none"/>
        </w:rPr>
        <w:t>文件递交方式：供应商应于</w:t>
      </w:r>
      <w:r>
        <w:rPr>
          <w:rFonts w:hint="eastAsia" w:ascii="Arial" w:hAnsi="Arial" w:cs="Arial"/>
          <w:color w:val="auto"/>
          <w:kern w:val="0"/>
          <w:szCs w:val="21"/>
          <w:highlight w:val="none"/>
        </w:rPr>
        <w:t>响应文件</w:t>
      </w:r>
      <w:r>
        <w:rPr>
          <w:rFonts w:ascii="Arial" w:hAnsi="Arial" w:cs="Arial"/>
          <w:color w:val="auto"/>
          <w:kern w:val="0"/>
          <w:szCs w:val="21"/>
          <w:highlight w:val="none"/>
        </w:rPr>
        <w:t>递交截止时间前将</w:t>
      </w:r>
      <w:r>
        <w:rPr>
          <w:rFonts w:hint="eastAsia" w:ascii="Arial" w:hAnsi="Arial" w:cs="Arial"/>
          <w:color w:val="auto"/>
          <w:kern w:val="0"/>
          <w:szCs w:val="21"/>
          <w:highlight w:val="none"/>
        </w:rPr>
        <w:t>响应文件</w:t>
      </w:r>
      <w:r>
        <w:rPr>
          <w:rFonts w:ascii="Arial" w:hAnsi="Arial" w:cs="Arial"/>
          <w:color w:val="auto"/>
          <w:kern w:val="0"/>
          <w:szCs w:val="21"/>
          <w:highlight w:val="none"/>
        </w:rPr>
        <w:t>密封并</w:t>
      </w:r>
      <w:r>
        <w:rPr>
          <w:rFonts w:hint="eastAsia" w:ascii="Arial" w:hAnsi="Arial" w:cs="Arial"/>
          <w:color w:val="auto"/>
          <w:kern w:val="0"/>
          <w:szCs w:val="21"/>
          <w:highlight w:val="none"/>
        </w:rPr>
        <w:t>提交</w:t>
      </w:r>
      <w:r>
        <w:rPr>
          <w:rFonts w:ascii="Arial" w:hAnsi="Arial" w:cs="Arial"/>
          <w:color w:val="auto"/>
          <w:kern w:val="0"/>
          <w:szCs w:val="21"/>
          <w:highlight w:val="none"/>
        </w:rPr>
        <w:t>至</w:t>
      </w:r>
      <w:r>
        <w:rPr>
          <w:rFonts w:hint="eastAsia" w:ascii="Arial" w:hAnsi="Arial" w:cs="Arial"/>
          <w:color w:val="auto"/>
          <w:kern w:val="0"/>
          <w:szCs w:val="21"/>
          <w:highlight w:val="none"/>
        </w:rPr>
        <w:t>响应文件</w:t>
      </w:r>
      <w:r>
        <w:rPr>
          <w:rFonts w:ascii="Arial" w:hAnsi="Arial" w:cs="Arial"/>
          <w:color w:val="auto"/>
          <w:kern w:val="0"/>
          <w:szCs w:val="21"/>
          <w:highlight w:val="none"/>
        </w:rPr>
        <w:t>递交截止地点。</w:t>
      </w:r>
      <w:r>
        <w:rPr>
          <w:rFonts w:hint="eastAsia" w:ascii="Arial" w:hAnsi="Arial" w:cs="Arial"/>
          <w:b/>
          <w:bCs/>
          <w:color w:val="auto"/>
          <w:kern w:val="0"/>
          <w:szCs w:val="21"/>
          <w:highlight w:val="none"/>
        </w:rPr>
        <w:t>六</w:t>
      </w:r>
      <w:r>
        <w:rPr>
          <w:rFonts w:ascii="Arial" w:hAnsi="Arial" w:cs="Arial"/>
          <w:b/>
          <w:bCs/>
          <w:color w:val="auto"/>
          <w:kern w:val="0"/>
          <w:szCs w:val="21"/>
          <w:highlight w:val="none"/>
        </w:rPr>
        <w:t>、磋商时间及地点</w:t>
      </w:r>
    </w:p>
    <w:p>
      <w:pPr>
        <w:wordWrap w:val="0"/>
        <w:spacing w:line="288" w:lineRule="auto"/>
        <w:ind w:firstLine="238"/>
        <w:jc w:val="left"/>
        <w:rPr>
          <w:rFonts w:ascii="Arial" w:hAnsi="Arial" w:cs="Arial"/>
          <w:color w:val="auto"/>
          <w:kern w:val="0"/>
          <w:szCs w:val="21"/>
          <w:highlight w:val="none"/>
        </w:rPr>
      </w:pPr>
      <w:r>
        <w:rPr>
          <w:rFonts w:hint="eastAsia" w:ascii="Arial" w:hAnsi="Arial" w:cs="Arial"/>
          <w:color w:val="auto"/>
          <w:kern w:val="0"/>
          <w:szCs w:val="21"/>
          <w:highlight w:val="none"/>
        </w:rPr>
        <w:t>截标时间同响应文件递交截止时间，截标地点同响应文件递交地点</w:t>
      </w:r>
      <w:r>
        <w:rPr>
          <w:rFonts w:ascii="Arial" w:hAnsi="Arial" w:cs="Arial"/>
          <w:color w:val="auto"/>
          <w:kern w:val="0"/>
          <w:szCs w:val="21"/>
          <w:highlight w:val="none"/>
        </w:rPr>
        <w:t>。</w:t>
      </w:r>
    </w:p>
    <w:p>
      <w:pPr>
        <w:wordWrap w:val="0"/>
        <w:spacing w:line="288" w:lineRule="auto"/>
        <w:jc w:val="left"/>
        <w:rPr>
          <w:rFonts w:ascii="Arial" w:hAnsi="Arial" w:cs="Arial"/>
          <w:b/>
          <w:bCs/>
          <w:color w:val="auto"/>
          <w:kern w:val="0"/>
          <w:szCs w:val="21"/>
          <w:highlight w:val="none"/>
        </w:rPr>
      </w:pPr>
      <w:r>
        <w:rPr>
          <w:rFonts w:hint="eastAsia" w:ascii="Arial" w:hAnsi="Arial" w:cs="Arial"/>
          <w:b/>
          <w:bCs/>
          <w:color w:val="auto"/>
          <w:kern w:val="0"/>
          <w:szCs w:val="21"/>
          <w:highlight w:val="none"/>
        </w:rPr>
        <w:t>七</w:t>
      </w:r>
      <w:r>
        <w:rPr>
          <w:rFonts w:ascii="Arial" w:hAnsi="Arial" w:cs="Arial"/>
          <w:b/>
          <w:bCs/>
          <w:color w:val="auto"/>
          <w:kern w:val="0"/>
          <w:szCs w:val="21"/>
          <w:highlight w:val="none"/>
        </w:rPr>
        <w:t>、网上公告媒体查询</w:t>
      </w:r>
    </w:p>
    <w:p>
      <w:pPr>
        <w:wordWrap w:val="0"/>
        <w:spacing w:line="288" w:lineRule="auto"/>
        <w:ind w:firstLine="238"/>
        <w:jc w:val="left"/>
        <w:rPr>
          <w:rFonts w:hint="eastAsia" w:ascii="Arial" w:hAnsi="Arial" w:cs="Arial"/>
          <w:color w:val="auto"/>
          <w:szCs w:val="21"/>
          <w:highlight w:val="none"/>
        </w:rPr>
      </w:pPr>
      <w:r>
        <w:rPr>
          <w:rFonts w:ascii="Arial" w:hAnsi="Arial" w:cs="Arial"/>
          <w:color w:val="auto"/>
          <w:kern w:val="0"/>
          <w:szCs w:val="21"/>
          <w:highlight w:val="none"/>
        </w:rPr>
        <w:t>广西招标采购网</w:t>
      </w:r>
      <w:r>
        <w:rPr>
          <w:rFonts w:hint="eastAsia" w:ascii="Arial" w:hAnsi="Arial" w:cs="Arial"/>
          <w:color w:val="auto"/>
          <w:kern w:val="0"/>
          <w:szCs w:val="21"/>
          <w:highlight w:val="none"/>
        </w:rPr>
        <w:t>、</w:t>
      </w:r>
      <w:r>
        <w:rPr>
          <w:rFonts w:hint="eastAsia" w:ascii="Arial" w:hAnsi="Arial" w:cs="Arial"/>
          <w:color w:val="auto"/>
          <w:szCs w:val="21"/>
          <w:highlight w:val="none"/>
        </w:rPr>
        <w:t>精彩纵横云采购平台、中国招标投标公共服务平台</w:t>
      </w:r>
      <w:r>
        <w:rPr>
          <w:rFonts w:ascii="Arial" w:hAnsi="Arial" w:cs="Arial"/>
          <w:color w:val="auto"/>
          <w:szCs w:val="21"/>
          <w:highlight w:val="none"/>
        </w:rPr>
        <w:t>。</w:t>
      </w:r>
    </w:p>
    <w:p>
      <w:pPr>
        <w:spacing w:line="288" w:lineRule="auto"/>
        <w:rPr>
          <w:rFonts w:ascii="Arial" w:hAnsi="Arial" w:cs="Arial"/>
          <w:b/>
          <w:bCs/>
          <w:color w:val="auto"/>
          <w:szCs w:val="21"/>
          <w:highlight w:val="none"/>
        </w:rPr>
      </w:pPr>
      <w:r>
        <w:rPr>
          <w:rFonts w:hint="eastAsia" w:ascii="Arial" w:hAnsi="Arial" w:cs="Arial"/>
          <w:b/>
          <w:bCs/>
          <w:color w:val="auto"/>
          <w:szCs w:val="21"/>
          <w:highlight w:val="none"/>
        </w:rPr>
        <w:t>八</w:t>
      </w:r>
      <w:r>
        <w:rPr>
          <w:rFonts w:ascii="Arial" w:hAnsi="Arial" w:cs="Arial"/>
          <w:b/>
          <w:bCs/>
          <w:color w:val="auto"/>
          <w:szCs w:val="21"/>
          <w:highlight w:val="none"/>
        </w:rPr>
        <w:t>、联系方式</w:t>
      </w:r>
    </w:p>
    <w:p>
      <w:pPr>
        <w:spacing w:line="288" w:lineRule="auto"/>
        <w:rPr>
          <w:rFonts w:hint="eastAsia" w:ascii="Arial" w:hAnsi="Arial" w:cs="Arial"/>
          <w:color w:val="auto"/>
          <w:szCs w:val="21"/>
          <w:highlight w:val="none"/>
        </w:rPr>
      </w:pPr>
      <w:r>
        <w:rPr>
          <w:rFonts w:ascii="Arial" w:hAnsi="Arial" w:cs="Arial"/>
          <w:color w:val="auto"/>
          <w:szCs w:val="21"/>
          <w:highlight w:val="none"/>
        </w:rPr>
        <w:t>采购人：</w:t>
      </w:r>
      <w:r>
        <w:rPr>
          <w:rFonts w:hint="eastAsia" w:ascii="Arial" w:hAnsi="Arial" w:cs="Arial"/>
          <w:color w:val="auto"/>
          <w:szCs w:val="21"/>
          <w:highlight w:val="none"/>
        </w:rPr>
        <w:t xml:space="preserve">灵川县中医医院 </w:t>
      </w:r>
    </w:p>
    <w:p>
      <w:pPr>
        <w:spacing w:line="288" w:lineRule="auto"/>
        <w:rPr>
          <w:rFonts w:hint="eastAsia" w:ascii="Arial" w:hAnsi="Arial" w:cs="Arial"/>
          <w:color w:val="auto"/>
          <w:szCs w:val="21"/>
          <w:highlight w:val="none"/>
        </w:rPr>
      </w:pPr>
      <w:r>
        <w:rPr>
          <w:rFonts w:ascii="Arial" w:hAnsi="Arial" w:cs="Arial"/>
          <w:color w:val="auto"/>
          <w:szCs w:val="21"/>
          <w:highlight w:val="none"/>
        </w:rPr>
        <w:t>地址：</w:t>
      </w:r>
      <w:r>
        <w:rPr>
          <w:rFonts w:hint="eastAsia" w:ascii="Arial" w:hAnsi="Arial" w:cs="Arial"/>
          <w:color w:val="auto"/>
          <w:szCs w:val="21"/>
          <w:highlight w:val="none"/>
        </w:rPr>
        <w:t>灵川县八里街八里七路43号</w:t>
      </w:r>
    </w:p>
    <w:p>
      <w:pPr>
        <w:spacing w:line="288" w:lineRule="auto"/>
        <w:rPr>
          <w:rFonts w:hint="eastAsia" w:ascii="Arial" w:hAnsi="Arial" w:cs="Arial"/>
          <w:color w:val="auto"/>
          <w:szCs w:val="21"/>
          <w:highlight w:val="none"/>
          <w:lang w:val="en-US" w:eastAsia="zh-CN"/>
        </w:rPr>
      </w:pPr>
      <w:r>
        <w:rPr>
          <w:rFonts w:hint="eastAsia" w:ascii="Arial" w:hAnsi="Arial" w:cs="Arial"/>
          <w:color w:val="auto"/>
          <w:szCs w:val="21"/>
          <w:highlight w:val="none"/>
        </w:rPr>
        <w:t>联系方式：</w:t>
      </w:r>
      <w:r>
        <w:rPr>
          <w:rFonts w:hint="eastAsia" w:ascii="Arial" w:hAnsi="Arial" w:cs="Arial"/>
          <w:color w:val="auto"/>
          <w:szCs w:val="21"/>
          <w:highlight w:val="none"/>
          <w:lang w:eastAsia="zh-CN"/>
        </w:rPr>
        <w:t>梁其照</w:t>
      </w:r>
      <w:r>
        <w:rPr>
          <w:rFonts w:hint="eastAsia" w:ascii="Arial" w:hAnsi="Arial" w:cs="Arial"/>
          <w:color w:val="auto"/>
          <w:szCs w:val="21"/>
          <w:highlight w:val="none"/>
        </w:rPr>
        <w:t>，15</w:t>
      </w:r>
      <w:r>
        <w:rPr>
          <w:rFonts w:hint="eastAsia" w:ascii="Arial" w:hAnsi="Arial" w:cs="Arial"/>
          <w:color w:val="auto"/>
          <w:szCs w:val="21"/>
          <w:highlight w:val="none"/>
          <w:lang w:val="en-US" w:eastAsia="zh-CN"/>
        </w:rPr>
        <w:t>777333682</w:t>
      </w:r>
    </w:p>
    <w:p>
      <w:pPr>
        <w:spacing w:line="288" w:lineRule="auto"/>
        <w:rPr>
          <w:rFonts w:ascii="Arial" w:hAnsi="Arial" w:cs="Arial"/>
          <w:color w:val="auto"/>
          <w:szCs w:val="21"/>
          <w:highlight w:val="none"/>
        </w:rPr>
      </w:pPr>
      <w:r>
        <w:rPr>
          <w:rFonts w:ascii="Arial" w:hAnsi="Arial" w:cs="Arial"/>
          <w:color w:val="auto"/>
          <w:szCs w:val="21"/>
          <w:highlight w:val="none"/>
        </w:rPr>
        <w:t>采购代理机构：广西机电设备招标有限公司</w:t>
      </w:r>
    </w:p>
    <w:p>
      <w:pPr>
        <w:spacing w:line="288" w:lineRule="auto"/>
        <w:rPr>
          <w:rFonts w:ascii="Arial" w:hAnsi="Arial" w:cs="Arial"/>
          <w:color w:val="auto"/>
          <w:szCs w:val="21"/>
          <w:highlight w:val="none"/>
        </w:rPr>
      </w:pPr>
      <w:r>
        <w:rPr>
          <w:rFonts w:ascii="Arial" w:hAnsi="Arial" w:cs="Arial"/>
          <w:color w:val="auto"/>
          <w:szCs w:val="21"/>
          <w:highlight w:val="none"/>
        </w:rPr>
        <w:t>地址：桂林市骖鸾路31号湘商大厦6楼603（桂林分公司）</w:t>
      </w:r>
    </w:p>
    <w:p>
      <w:pPr>
        <w:spacing w:line="288" w:lineRule="auto"/>
        <w:rPr>
          <w:rFonts w:ascii="Arial" w:hAnsi="Arial" w:cs="Arial"/>
          <w:color w:val="auto"/>
          <w:szCs w:val="21"/>
          <w:highlight w:val="none"/>
        </w:rPr>
      </w:pPr>
      <w:r>
        <w:rPr>
          <w:rFonts w:ascii="Arial" w:hAnsi="Arial" w:cs="Arial"/>
          <w:color w:val="auto"/>
          <w:szCs w:val="21"/>
          <w:highlight w:val="none"/>
        </w:rPr>
        <w:t>项目联系人：曾昭卉</w:t>
      </w:r>
    </w:p>
    <w:p>
      <w:pPr>
        <w:spacing w:line="288" w:lineRule="auto"/>
        <w:rPr>
          <w:rFonts w:ascii="Arial" w:hAnsi="Arial" w:cs="Arial"/>
          <w:color w:val="auto"/>
          <w:szCs w:val="21"/>
          <w:highlight w:val="none"/>
        </w:rPr>
      </w:pPr>
      <w:r>
        <w:rPr>
          <w:rFonts w:ascii="Arial" w:hAnsi="Arial" w:cs="Arial"/>
          <w:color w:val="auto"/>
          <w:szCs w:val="21"/>
          <w:highlight w:val="none"/>
        </w:rPr>
        <w:t>联系电话：0773-3696789</w:t>
      </w:r>
      <w:r>
        <w:rPr>
          <w:rFonts w:ascii="Arial" w:hAnsi="Arial" w:cs="Arial"/>
          <w:color w:val="auto"/>
          <w:highlight w:val="none"/>
        </w:rPr>
        <w:t>转2</w:t>
      </w:r>
    </w:p>
    <w:p>
      <w:pPr>
        <w:spacing w:line="288" w:lineRule="auto"/>
        <w:rPr>
          <w:rFonts w:ascii="Arial" w:hAnsi="Arial" w:cs="Arial"/>
          <w:color w:val="auto"/>
          <w:szCs w:val="21"/>
          <w:highlight w:val="none"/>
        </w:rPr>
      </w:pPr>
    </w:p>
    <w:p>
      <w:pPr>
        <w:spacing w:line="288" w:lineRule="auto"/>
        <w:jc w:val="right"/>
        <w:rPr>
          <w:rFonts w:ascii="Arial" w:hAnsi="Arial" w:cs="Arial"/>
          <w:color w:val="auto"/>
          <w:szCs w:val="21"/>
          <w:highlight w:val="none"/>
        </w:rPr>
      </w:pPr>
      <w:r>
        <w:rPr>
          <w:rFonts w:ascii="Arial" w:hAnsi="Arial" w:cs="Arial"/>
          <w:color w:val="auto"/>
          <w:szCs w:val="21"/>
          <w:highlight w:val="none"/>
        </w:rPr>
        <w:t>广西机电设备招标有限公司</w:t>
      </w:r>
    </w:p>
    <w:p>
      <w:pPr>
        <w:spacing w:line="288" w:lineRule="auto"/>
        <w:jc w:val="right"/>
        <w:rPr>
          <w:rFonts w:ascii="Arial" w:hAnsi="Arial" w:cs="Arial"/>
          <w:color w:val="auto"/>
          <w:szCs w:val="21"/>
          <w:highlight w:val="none"/>
        </w:rPr>
      </w:pPr>
      <w:r>
        <w:rPr>
          <w:rFonts w:hint="eastAsia" w:ascii="Arial" w:hAnsi="Arial" w:cs="Arial"/>
          <w:color w:val="auto"/>
          <w:szCs w:val="21"/>
          <w:highlight w:val="none"/>
        </w:rPr>
        <w:t xml:space="preserve">  2025</w:t>
      </w:r>
      <w:r>
        <w:rPr>
          <w:rFonts w:ascii="Arial" w:hAnsi="Arial" w:cs="Arial"/>
          <w:color w:val="auto"/>
          <w:szCs w:val="21"/>
          <w:highlight w:val="none"/>
        </w:rPr>
        <w:t>年</w:t>
      </w:r>
      <w:r>
        <w:rPr>
          <w:rFonts w:hint="eastAsia" w:ascii="Arial" w:hAnsi="Arial" w:cs="Arial"/>
          <w:color w:val="auto"/>
          <w:szCs w:val="21"/>
          <w:highlight w:val="none"/>
          <w:lang w:val="en-US" w:eastAsia="zh-CN"/>
        </w:rPr>
        <w:t>7</w:t>
      </w:r>
      <w:r>
        <w:rPr>
          <w:rFonts w:hint="eastAsia" w:ascii="Arial" w:hAnsi="Arial" w:cs="Arial"/>
          <w:color w:val="auto"/>
          <w:szCs w:val="21"/>
          <w:highlight w:val="none"/>
        </w:rPr>
        <w:t>月</w:t>
      </w:r>
      <w:r>
        <w:rPr>
          <w:rFonts w:hint="eastAsia" w:ascii="Arial" w:hAnsi="Arial" w:cs="Arial"/>
          <w:color w:val="auto"/>
          <w:szCs w:val="21"/>
          <w:highlight w:val="none"/>
          <w:lang w:val="en-US" w:eastAsia="zh-CN"/>
        </w:rPr>
        <w:t>21</w:t>
      </w:r>
      <w:r>
        <w:rPr>
          <w:rFonts w:hint="eastAsia" w:ascii="Arial" w:hAnsi="Arial" w:cs="Arial"/>
          <w:color w:val="auto"/>
          <w:szCs w:val="21"/>
          <w:highlight w:val="none"/>
        </w:rPr>
        <w:t>日</w:t>
      </w:r>
    </w:p>
    <w:p>
      <w:pPr>
        <w:rPr>
          <w:rFonts w:ascii="Arial" w:hAnsi="Arial" w:cs="Arial"/>
          <w:color w:val="auto"/>
          <w:szCs w:val="21"/>
          <w:highlight w:val="none"/>
        </w:rPr>
        <w:sectPr>
          <w:headerReference r:id="rId6" w:type="first"/>
          <w:footerReference r:id="rId8" w:type="first"/>
          <w:headerReference r:id="rId5" w:type="default"/>
          <w:footerReference r:id="rId7" w:type="default"/>
          <w:pgSz w:w="11906" w:h="16838"/>
          <w:pgMar w:top="1134" w:right="892" w:bottom="1134" w:left="934" w:header="680" w:footer="907" w:gutter="0"/>
          <w:pgNumType w:start="1"/>
          <w:cols w:space="720" w:num="1"/>
          <w:titlePg/>
          <w:docGrid w:linePitch="271" w:charSpace="0"/>
        </w:sectPr>
      </w:pPr>
    </w:p>
    <w:p>
      <w:pPr>
        <w:rPr>
          <w:rFonts w:ascii="Arial" w:hAnsi="Arial" w:cs="Arial"/>
          <w:color w:val="auto"/>
          <w:sz w:val="24"/>
          <w:highlight w:val="none"/>
        </w:rPr>
      </w:pPr>
    </w:p>
    <w:p>
      <w:pPr>
        <w:pStyle w:val="2"/>
        <w:numPr>
          <w:ilvl w:val="0"/>
          <w:numId w:val="2"/>
        </w:numPr>
        <w:rPr>
          <w:rFonts w:ascii="Arial" w:hAnsi="Arial" w:eastAsia="宋体" w:cs="Arial"/>
          <w:color w:val="auto"/>
          <w:highlight w:val="none"/>
        </w:rPr>
      </w:pPr>
      <w:bookmarkStart w:id="10" w:name="_Toc1244"/>
      <w:r>
        <w:rPr>
          <w:rFonts w:ascii="Arial" w:hAnsi="Arial" w:eastAsia="宋体" w:cs="Arial"/>
          <w:color w:val="auto"/>
          <w:szCs w:val="32"/>
          <w:highlight w:val="none"/>
        </w:rPr>
        <w:t>项目采购需求</w:t>
      </w:r>
      <w:bookmarkEnd w:id="10"/>
    </w:p>
    <w:p>
      <w:pPr>
        <w:snapToGrid w:val="0"/>
        <w:spacing w:line="300" w:lineRule="auto"/>
        <w:rPr>
          <w:rFonts w:ascii="Arial" w:hAnsi="Arial" w:cs="Arial"/>
          <w:color w:val="auto"/>
          <w:szCs w:val="32"/>
          <w:highlight w:val="none"/>
        </w:rPr>
      </w:pPr>
      <w:r>
        <w:rPr>
          <w:rFonts w:hint="eastAsia" w:ascii="Arial" w:hAnsi="Arial" w:cs="Arial"/>
          <w:b/>
          <w:bCs/>
          <w:color w:val="auto"/>
          <w:szCs w:val="21"/>
          <w:highlight w:val="none"/>
        </w:rPr>
        <w:t>说明：“项目采购需求”中的所有内容均为实质性要求</w:t>
      </w:r>
      <w:r>
        <w:rPr>
          <w:rFonts w:ascii="Arial" w:hAnsi="Arial" w:cs="Arial"/>
          <w:b/>
          <w:bCs/>
          <w:color w:val="auto"/>
          <w:szCs w:val="21"/>
          <w:highlight w:val="none"/>
        </w:rPr>
        <w:t>，如有负偏离将导致响应被否决。</w:t>
      </w:r>
    </w:p>
    <w:tbl>
      <w:tblPr>
        <w:tblStyle w:val="58"/>
        <w:tblW w:w="10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1020"/>
        <w:gridCol w:w="86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98" w:type="dxa"/>
            <w:noWrap w:val="0"/>
            <w:vAlign w:val="center"/>
          </w:tcPr>
          <w:p>
            <w:pPr>
              <w:pStyle w:val="155"/>
              <w:keepNext w:val="0"/>
              <w:keepLines w:val="0"/>
              <w:suppressLineNumbers w:val="0"/>
              <w:adjustRightInd w:val="0"/>
              <w:snapToGrid w:val="0"/>
              <w:spacing w:before="0" w:beforeAutospacing="0" w:after="0" w:afterAutospacing="0" w:line="288" w:lineRule="auto"/>
              <w:ind w:left="0" w:right="0"/>
              <w:rPr>
                <w:rFonts w:ascii="Arial" w:hAnsi="Arial" w:cs="Arial"/>
                <w:color w:val="auto"/>
                <w:szCs w:val="21"/>
                <w:highlight w:val="none"/>
              </w:rPr>
            </w:pPr>
            <w:r>
              <w:rPr>
                <w:rFonts w:ascii="Arial" w:hAnsi="Arial" w:cs="Arial"/>
                <w:color w:val="auto"/>
                <w:szCs w:val="21"/>
                <w:highlight w:val="none"/>
              </w:rPr>
              <w:t>项号</w:t>
            </w:r>
          </w:p>
        </w:tc>
        <w:tc>
          <w:tcPr>
            <w:tcW w:w="1020" w:type="dxa"/>
            <w:noWrap w:val="0"/>
            <w:vAlign w:val="center"/>
          </w:tcPr>
          <w:p>
            <w:pPr>
              <w:pStyle w:val="155"/>
              <w:keepNext w:val="0"/>
              <w:keepLines w:val="0"/>
              <w:suppressLineNumbers w:val="0"/>
              <w:adjustRightInd w:val="0"/>
              <w:snapToGrid w:val="0"/>
              <w:spacing w:before="0" w:beforeAutospacing="0" w:after="0" w:afterAutospacing="0" w:line="288" w:lineRule="auto"/>
              <w:ind w:left="0" w:right="0"/>
              <w:rPr>
                <w:rFonts w:ascii="Arial" w:hAnsi="Arial" w:cs="Arial"/>
                <w:color w:val="auto"/>
                <w:szCs w:val="21"/>
                <w:highlight w:val="none"/>
              </w:rPr>
            </w:pPr>
            <w:r>
              <w:rPr>
                <w:rFonts w:ascii="Arial" w:hAnsi="Arial" w:cs="Arial"/>
                <w:color w:val="auto"/>
                <w:spacing w:val="8"/>
                <w:szCs w:val="21"/>
                <w:highlight w:val="none"/>
              </w:rPr>
              <w:t>标的名称</w:t>
            </w:r>
          </w:p>
        </w:tc>
        <w:tc>
          <w:tcPr>
            <w:tcW w:w="8603" w:type="dxa"/>
            <w:noWrap w:val="0"/>
            <w:vAlign w:val="center"/>
          </w:tcPr>
          <w:p>
            <w:pPr>
              <w:pStyle w:val="155"/>
              <w:keepNext w:val="0"/>
              <w:keepLines w:val="0"/>
              <w:suppressLineNumbers w:val="0"/>
              <w:adjustRightInd w:val="0"/>
              <w:snapToGrid w:val="0"/>
              <w:spacing w:before="0" w:beforeAutospacing="0" w:after="0" w:afterAutospacing="0" w:line="288" w:lineRule="auto"/>
              <w:ind w:left="0" w:right="3982"/>
              <w:jc w:val="center"/>
              <w:rPr>
                <w:rFonts w:ascii="Arial" w:hAnsi="Arial" w:cs="Arial"/>
                <w:color w:val="auto"/>
                <w:szCs w:val="21"/>
                <w:highlight w:val="none"/>
              </w:rPr>
            </w:pPr>
            <w:r>
              <w:rPr>
                <w:rFonts w:hint="eastAsia" w:ascii="Arial" w:hAnsi="Arial" w:cs="Arial"/>
                <w:color w:val="auto"/>
                <w:szCs w:val="21"/>
                <w:highlight w:val="none"/>
              </w:rPr>
              <w:t xml:space="preserve">                         </w:t>
            </w:r>
            <w:r>
              <w:rPr>
                <w:rFonts w:ascii="Arial" w:hAnsi="Arial" w:cs="Arial"/>
                <w:color w:val="auto"/>
                <w:szCs w:val="21"/>
                <w:highlight w:val="none"/>
              </w:rPr>
              <w:t>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98" w:type="dxa"/>
            <w:noWrap w:val="0"/>
            <w:vAlign w:val="center"/>
          </w:tcPr>
          <w:p>
            <w:pPr>
              <w:pStyle w:val="155"/>
              <w:keepNext w:val="0"/>
              <w:keepLines w:val="0"/>
              <w:suppressLineNumbers w:val="0"/>
              <w:adjustRightInd w:val="0"/>
              <w:snapToGrid w:val="0"/>
              <w:spacing w:before="0" w:beforeAutospacing="0" w:after="0" w:afterAutospacing="0" w:line="288" w:lineRule="auto"/>
              <w:ind w:left="244" w:right="0"/>
              <w:jc w:val="center"/>
              <w:rPr>
                <w:rFonts w:ascii="Arial" w:hAnsi="Arial" w:cs="Arial"/>
                <w:color w:val="auto"/>
                <w:szCs w:val="21"/>
                <w:highlight w:val="none"/>
              </w:rPr>
            </w:pPr>
            <w:r>
              <w:rPr>
                <w:rFonts w:ascii="Arial" w:hAnsi="Arial" w:cs="Arial"/>
                <w:color w:val="auto"/>
                <w:szCs w:val="21"/>
                <w:highlight w:val="none"/>
              </w:rPr>
              <w:t>1</w:t>
            </w:r>
          </w:p>
        </w:tc>
        <w:tc>
          <w:tcPr>
            <w:tcW w:w="1020" w:type="dxa"/>
            <w:noWrap w:val="0"/>
            <w:vAlign w:val="center"/>
          </w:tcPr>
          <w:p>
            <w:pPr>
              <w:pStyle w:val="155"/>
              <w:keepNext w:val="0"/>
              <w:keepLines w:val="0"/>
              <w:suppressLineNumbers w:val="0"/>
              <w:adjustRightInd w:val="0"/>
              <w:snapToGrid w:val="0"/>
              <w:spacing w:before="0" w:beforeAutospacing="0" w:after="0" w:afterAutospacing="0" w:line="288" w:lineRule="auto"/>
              <w:ind w:left="0" w:right="62"/>
              <w:jc w:val="center"/>
              <w:rPr>
                <w:rFonts w:ascii="Arial" w:hAnsi="Arial" w:cs="Arial"/>
                <w:color w:val="auto"/>
                <w:szCs w:val="21"/>
                <w:highlight w:val="none"/>
              </w:rPr>
            </w:pPr>
            <w:r>
              <w:rPr>
                <w:rFonts w:ascii="Arial" w:hAnsi="Arial" w:cs="Arial"/>
                <w:color w:val="auto"/>
                <w:szCs w:val="21"/>
                <w:highlight w:val="none"/>
              </w:rPr>
              <w:t>灵川县中医医院中药饮片代煎服务</w:t>
            </w:r>
          </w:p>
        </w:tc>
        <w:tc>
          <w:tcPr>
            <w:tcW w:w="8603" w:type="dxa"/>
            <w:noWrap w:val="0"/>
            <w:vAlign w:val="center"/>
          </w:tcPr>
          <w:p>
            <w:pPr>
              <w:pStyle w:val="155"/>
              <w:keepNext w:val="0"/>
              <w:keepLines w:val="0"/>
              <w:suppressLineNumbers w:val="0"/>
              <w:adjustRightInd w:val="0"/>
              <w:snapToGrid w:val="0"/>
              <w:spacing w:before="0" w:beforeAutospacing="0" w:after="0" w:afterAutospacing="0" w:line="288" w:lineRule="auto"/>
              <w:ind w:left="110" w:right="0"/>
              <w:jc w:val="left"/>
              <w:rPr>
                <w:rFonts w:ascii="Arial" w:hAnsi="Arial" w:cs="Arial"/>
                <w:b/>
                <w:color w:val="auto"/>
                <w:szCs w:val="21"/>
                <w:highlight w:val="none"/>
              </w:rPr>
            </w:pPr>
            <w:r>
              <w:rPr>
                <w:rFonts w:ascii="Arial" w:hAnsi="Arial" w:cs="Arial"/>
                <w:b/>
                <w:color w:val="auto"/>
                <w:szCs w:val="21"/>
                <w:highlight w:val="none"/>
              </w:rPr>
              <w:t>一、合作内容</w:t>
            </w:r>
          </w:p>
          <w:p>
            <w:pPr>
              <w:pStyle w:val="155"/>
              <w:keepNext w:val="0"/>
              <w:keepLines w:val="0"/>
              <w:suppressLineNumbers w:val="0"/>
              <w:adjustRightInd w:val="0"/>
              <w:snapToGrid w:val="0"/>
              <w:spacing w:before="0" w:beforeAutospacing="0" w:after="0" w:afterAutospacing="0" w:line="288" w:lineRule="auto"/>
              <w:ind w:left="110" w:right="0"/>
              <w:jc w:val="left"/>
              <w:rPr>
                <w:rFonts w:hint="eastAsia" w:ascii="Arial" w:hAnsi="Arial" w:cs="Arial"/>
                <w:color w:val="auto"/>
                <w:szCs w:val="21"/>
                <w:highlight w:val="none"/>
              </w:rPr>
            </w:pPr>
            <w:r>
              <w:rPr>
                <w:rFonts w:ascii="Arial" w:hAnsi="Arial" w:cs="Arial"/>
                <w:color w:val="auto"/>
                <w:szCs w:val="21"/>
                <w:highlight w:val="none"/>
              </w:rPr>
              <w:t>1、供应商为采购人提供中药饮片煎煮，同采购人建立中药饮片代煎合作关系。</w:t>
            </w:r>
            <w:r>
              <w:rPr>
                <w:rFonts w:hint="eastAsia" w:ascii="Arial" w:hAnsi="Arial" w:cs="Arial"/>
                <w:color w:val="auto"/>
                <w:szCs w:val="21"/>
                <w:highlight w:val="none"/>
              </w:rPr>
              <w:t>成交供应商</w:t>
            </w:r>
          </w:p>
          <w:p>
            <w:pPr>
              <w:pStyle w:val="19"/>
              <w:keepNext w:val="0"/>
              <w:keepLines w:val="0"/>
              <w:suppressLineNumbers w:val="0"/>
              <w:spacing w:before="0" w:beforeAutospacing="0" w:after="0" w:afterAutospacing="0"/>
              <w:ind w:left="0" w:right="0"/>
              <w:rPr>
                <w:rFonts w:eastAsia="宋体" w:cs="Times New Roman"/>
                <w:color w:val="auto"/>
              </w:rPr>
            </w:pPr>
            <w:r>
              <w:rPr>
                <w:rFonts w:ascii="Arial" w:hAnsi="Arial" w:eastAsia="宋体" w:cs="Arial"/>
                <w:color w:val="auto"/>
                <w:szCs w:val="21"/>
                <w:highlight w:val="none"/>
              </w:rPr>
              <w:t>（中药煎煮中心）使用的</w:t>
            </w:r>
            <w:r>
              <w:rPr>
                <w:rFonts w:ascii="Arial" w:hAnsi="Arial" w:eastAsia="宋体" w:cs="Arial"/>
                <w:color w:val="auto"/>
                <w:szCs w:val="21"/>
                <w:highlight w:val="none"/>
              </w:rPr>
              <w:t>饮片由</w:t>
            </w:r>
            <w:r>
              <w:rPr>
                <w:rFonts w:hint="eastAsia" w:ascii="Arial" w:hAnsi="Arial" w:eastAsia="宋体" w:cs="Arial"/>
                <w:color w:val="auto"/>
                <w:szCs w:val="21"/>
                <w:highlight w:val="none"/>
                <w:lang w:eastAsia="zh-CN"/>
              </w:rPr>
              <w:t>成交</w:t>
            </w:r>
            <w:r>
              <w:rPr>
                <w:rFonts w:ascii="Arial" w:hAnsi="Arial" w:eastAsia="宋体" w:cs="Arial"/>
                <w:color w:val="auto"/>
                <w:szCs w:val="21"/>
                <w:highlight w:val="none"/>
              </w:rPr>
              <w:t>供应商提供</w:t>
            </w:r>
            <w:r>
              <w:rPr>
                <w:rFonts w:hint="eastAsia" w:ascii="Arial" w:hAnsi="Arial" w:eastAsia="宋体" w:cs="Arial"/>
                <w:color w:val="auto"/>
                <w:szCs w:val="21"/>
                <w:highlight w:val="none"/>
                <w:lang w:eastAsia="zh-CN"/>
              </w:rPr>
              <w:t>，</w:t>
            </w:r>
            <w:r>
              <w:rPr>
                <w:rFonts w:hint="eastAsia" w:ascii="Arial" w:hAnsi="Arial" w:eastAsia="宋体" w:cs="Arial"/>
                <w:color w:val="auto"/>
                <w:kern w:val="0"/>
                <w:szCs w:val="21"/>
                <w:highlight w:val="none"/>
              </w:rPr>
              <w:t>供应期限内实际结算价款按采购人实际采购数量据实结算</w:t>
            </w:r>
            <w:r>
              <w:rPr>
                <w:rFonts w:hint="eastAsia" w:ascii="Arial" w:hAnsi="Arial" w:eastAsia="宋体" w:cs="Arial"/>
                <w:color w:val="auto"/>
                <w:szCs w:val="21"/>
                <w:highlight w:val="none"/>
                <w:lang w:eastAsia="zh-CN"/>
              </w:rPr>
              <w:t>（</w:t>
            </w:r>
            <w:r>
              <w:rPr>
                <w:rFonts w:hint="eastAsia" w:ascii="Arial" w:hAnsi="Arial" w:eastAsia="宋体" w:cs="Arial"/>
                <w:color w:val="auto"/>
                <w:szCs w:val="21"/>
                <w:highlight w:val="none"/>
                <w:lang w:val="en-US" w:eastAsia="zh-CN"/>
              </w:rPr>
              <w:t xml:space="preserve"> 也可由</w:t>
            </w:r>
            <w:r>
              <w:rPr>
                <w:rFonts w:hint="eastAsia" w:ascii="Arial" w:hAnsi="Arial" w:eastAsia="宋体" w:cs="Arial"/>
                <w:color w:val="auto"/>
                <w:highlight w:val="none"/>
                <w:lang w:val="en-US" w:eastAsia="zh-CN"/>
              </w:rPr>
              <w:t>采购人</w:t>
            </w:r>
            <w:r>
              <w:rPr>
                <w:rFonts w:ascii="Arial" w:hAnsi="Arial" w:eastAsia="宋体" w:cs="Arial"/>
                <w:color w:val="auto"/>
                <w:highlight w:val="none"/>
              </w:rPr>
              <w:t>的中药饮片定点供应商提供</w:t>
            </w:r>
            <w:r>
              <w:rPr>
                <w:rFonts w:hint="eastAsia" w:ascii="Arial" w:hAnsi="Arial" w:eastAsia="宋体" w:cs="Arial"/>
                <w:color w:val="auto"/>
                <w:szCs w:val="21"/>
                <w:highlight w:val="none"/>
                <w:lang w:val="en-US" w:eastAsia="zh-CN"/>
              </w:rPr>
              <w:t>）。</w:t>
            </w:r>
          </w:p>
          <w:p>
            <w:pPr>
              <w:pStyle w:val="155"/>
              <w:keepNext w:val="0"/>
              <w:keepLines w:val="0"/>
              <w:suppressLineNumbers w:val="0"/>
              <w:adjustRightInd w:val="0"/>
              <w:snapToGrid w:val="0"/>
              <w:spacing w:before="0" w:beforeAutospacing="0" w:after="0" w:afterAutospacing="0" w:line="288" w:lineRule="auto"/>
              <w:ind w:left="110" w:right="111"/>
              <w:jc w:val="left"/>
              <w:rPr>
                <w:rFonts w:hint="eastAsia" w:ascii="Arial" w:hAnsi="Arial" w:eastAsia="宋体" w:cs="Arial"/>
                <w:color w:val="auto"/>
                <w:szCs w:val="21"/>
                <w:highlight w:val="none"/>
                <w:lang w:val="en-US" w:eastAsia="zh-CN"/>
              </w:rPr>
            </w:pPr>
          </w:p>
          <w:p>
            <w:pPr>
              <w:pStyle w:val="155"/>
              <w:keepNext w:val="0"/>
              <w:keepLines w:val="0"/>
              <w:suppressLineNumbers w:val="0"/>
              <w:adjustRightInd w:val="0"/>
              <w:snapToGrid w:val="0"/>
              <w:spacing w:before="0" w:beforeAutospacing="0" w:after="0" w:afterAutospacing="0" w:line="288" w:lineRule="auto"/>
              <w:ind w:left="110" w:right="114"/>
              <w:jc w:val="left"/>
              <w:rPr>
                <w:rFonts w:ascii="Arial" w:hAnsi="Arial" w:cs="Arial"/>
                <w:color w:val="auto"/>
                <w:szCs w:val="21"/>
                <w:highlight w:val="none"/>
              </w:rPr>
            </w:pPr>
            <w:r>
              <w:rPr>
                <w:rFonts w:ascii="Arial" w:hAnsi="Arial" w:cs="Arial"/>
                <w:color w:val="auto"/>
                <w:szCs w:val="21"/>
                <w:highlight w:val="none"/>
              </w:rPr>
              <w:t>2、采购人向供应商系统提供 HIS 接口，采购人将其患者需要代煎、配送服务的处方传输给供应商，委托供应商进行处方二次审核、调剂、代煎、配送等服务，供应商按采购人和患者指定地点将药品送达采购人和患者。</w:t>
            </w:r>
          </w:p>
          <w:p>
            <w:pPr>
              <w:pStyle w:val="155"/>
              <w:keepNext w:val="0"/>
              <w:keepLines w:val="0"/>
              <w:suppressLineNumbers w:val="0"/>
              <w:adjustRightInd w:val="0"/>
              <w:snapToGrid w:val="0"/>
              <w:spacing w:before="0" w:beforeAutospacing="0" w:after="0" w:afterAutospacing="0" w:line="288" w:lineRule="auto"/>
              <w:ind w:left="110" w:right="0"/>
              <w:jc w:val="left"/>
              <w:rPr>
                <w:rFonts w:ascii="Arial" w:hAnsi="Arial" w:cs="Arial"/>
                <w:color w:val="auto"/>
                <w:szCs w:val="21"/>
                <w:highlight w:val="none"/>
              </w:rPr>
            </w:pPr>
            <w:r>
              <w:rPr>
                <w:rFonts w:ascii="Arial" w:hAnsi="Arial" w:cs="Arial"/>
                <w:color w:val="auto"/>
                <w:szCs w:val="21"/>
                <w:highlight w:val="none"/>
              </w:rPr>
              <w:t>3、采购人按约定向供应商支付实际费用。</w:t>
            </w:r>
          </w:p>
          <w:p>
            <w:pPr>
              <w:pStyle w:val="155"/>
              <w:keepNext w:val="0"/>
              <w:keepLines w:val="0"/>
              <w:suppressLineNumbers w:val="0"/>
              <w:adjustRightInd w:val="0"/>
              <w:snapToGrid w:val="0"/>
              <w:spacing w:before="0" w:beforeAutospacing="0" w:after="0" w:afterAutospacing="0" w:line="288" w:lineRule="auto"/>
              <w:ind w:left="110" w:right="100"/>
              <w:jc w:val="left"/>
              <w:rPr>
                <w:rFonts w:ascii="Arial" w:hAnsi="Arial" w:cs="Arial"/>
                <w:color w:val="auto"/>
                <w:szCs w:val="21"/>
                <w:highlight w:val="none"/>
              </w:rPr>
            </w:pPr>
            <w:r>
              <w:rPr>
                <w:rFonts w:ascii="Arial" w:hAnsi="Arial" w:cs="Arial"/>
                <w:color w:val="auto"/>
                <w:szCs w:val="21"/>
                <w:highlight w:val="none"/>
              </w:rPr>
              <w:t>4、供应商若有企业名称、住所地等信息变更，需向采购人书面说明，并在信息变更后10个工作日内到采购人指定部门办理变更备案手续。</w:t>
            </w:r>
          </w:p>
          <w:p>
            <w:pPr>
              <w:pStyle w:val="155"/>
              <w:keepNext w:val="0"/>
              <w:keepLines w:val="0"/>
              <w:suppressLineNumbers w:val="0"/>
              <w:adjustRightInd w:val="0"/>
              <w:snapToGrid w:val="0"/>
              <w:spacing w:before="0" w:beforeAutospacing="0" w:after="0" w:afterAutospacing="0" w:line="288" w:lineRule="auto"/>
              <w:ind w:left="110" w:right="100"/>
              <w:jc w:val="left"/>
              <w:rPr>
                <w:rFonts w:ascii="Arial" w:hAnsi="Arial" w:cs="Arial"/>
                <w:color w:val="auto"/>
                <w:szCs w:val="21"/>
                <w:highlight w:val="none"/>
              </w:rPr>
            </w:pPr>
            <w:r>
              <w:rPr>
                <w:rFonts w:ascii="Arial" w:hAnsi="Arial" w:cs="Arial"/>
                <w:color w:val="auto"/>
                <w:szCs w:val="21"/>
                <w:highlight w:val="none"/>
              </w:rPr>
              <w:t>5、采购人与供应商积极做好相应准备工作，确保在双方签订本协议日起30天内完成HIS系统对接、药品备货等相应筹备工作，并正式启动中药饮片代煎配送服务。</w:t>
            </w:r>
          </w:p>
          <w:p>
            <w:pPr>
              <w:pStyle w:val="155"/>
              <w:keepNext w:val="0"/>
              <w:keepLines w:val="0"/>
              <w:suppressLineNumbers w:val="0"/>
              <w:adjustRightInd w:val="0"/>
              <w:snapToGrid w:val="0"/>
              <w:spacing w:before="0" w:beforeAutospacing="0" w:after="0" w:afterAutospacing="0" w:line="288" w:lineRule="auto"/>
              <w:ind w:left="110" w:right="969"/>
              <w:jc w:val="left"/>
              <w:rPr>
                <w:rFonts w:ascii="Arial" w:hAnsi="Arial" w:cs="Arial"/>
                <w:b/>
                <w:color w:val="auto"/>
                <w:szCs w:val="21"/>
                <w:highlight w:val="none"/>
              </w:rPr>
            </w:pPr>
            <w:r>
              <w:rPr>
                <w:rFonts w:ascii="Arial" w:hAnsi="Arial" w:cs="Arial"/>
                <w:color w:val="auto"/>
                <w:szCs w:val="21"/>
                <w:highlight w:val="none"/>
              </w:rPr>
              <w:t>6、供应商承担代煎服务HIS系统对接、安装、运行、维护、升级等的相关费用。</w:t>
            </w:r>
            <w:r>
              <w:rPr>
                <w:rFonts w:ascii="Arial" w:hAnsi="Arial" w:cs="Arial"/>
                <w:b/>
                <w:color w:val="auto"/>
                <w:szCs w:val="21"/>
                <w:highlight w:val="none"/>
              </w:rPr>
              <w:t>二、质量要求</w:t>
            </w:r>
          </w:p>
          <w:p>
            <w:pPr>
              <w:pStyle w:val="155"/>
              <w:keepNext w:val="0"/>
              <w:keepLines w:val="0"/>
              <w:suppressLineNumbers w:val="0"/>
              <w:adjustRightInd w:val="0"/>
              <w:snapToGrid w:val="0"/>
              <w:spacing w:before="0" w:beforeAutospacing="0" w:after="0" w:afterAutospacing="0" w:line="288" w:lineRule="auto"/>
              <w:ind w:left="110" w:right="219"/>
              <w:jc w:val="left"/>
              <w:rPr>
                <w:rFonts w:ascii="Arial" w:hAnsi="Arial" w:cs="Arial"/>
                <w:color w:val="auto"/>
                <w:szCs w:val="21"/>
                <w:highlight w:val="none"/>
              </w:rPr>
            </w:pPr>
            <w:r>
              <w:rPr>
                <w:rFonts w:ascii="Arial" w:hAnsi="Arial" w:cs="Arial"/>
                <w:color w:val="auto"/>
                <w:szCs w:val="21"/>
                <w:highlight w:val="none"/>
              </w:rPr>
              <w:t>1、供应商的中药饮片储存、调配、配送所使用的场地、设备、环境卫生和人员资质等必须符合国家相关法律法规的要求。</w:t>
            </w:r>
          </w:p>
          <w:p>
            <w:pPr>
              <w:pStyle w:val="155"/>
              <w:keepNext w:val="0"/>
              <w:keepLines w:val="0"/>
              <w:suppressLineNumbers w:val="0"/>
              <w:adjustRightInd w:val="0"/>
              <w:snapToGrid w:val="0"/>
              <w:spacing w:before="0" w:beforeAutospacing="0" w:after="0" w:afterAutospacing="0" w:line="288" w:lineRule="auto"/>
              <w:ind w:left="110" w:right="0"/>
              <w:jc w:val="left"/>
              <w:rPr>
                <w:rFonts w:ascii="Arial" w:hAnsi="Arial" w:cs="Arial"/>
                <w:color w:val="auto"/>
                <w:szCs w:val="21"/>
                <w:highlight w:val="none"/>
              </w:rPr>
            </w:pPr>
            <w:r>
              <w:rPr>
                <w:rFonts w:ascii="Arial" w:hAnsi="Arial" w:cs="Arial"/>
                <w:color w:val="auto"/>
                <w:szCs w:val="21"/>
                <w:highlight w:val="none"/>
              </w:rPr>
              <w:t>2、处方审核、调剂：供应商应遵守《处方管理办法》、《中华人民共和国药品管理法》、</w:t>
            </w:r>
          </w:p>
          <w:p>
            <w:pPr>
              <w:pStyle w:val="155"/>
              <w:keepNext w:val="0"/>
              <w:keepLines w:val="0"/>
              <w:suppressLineNumbers w:val="0"/>
              <w:adjustRightInd w:val="0"/>
              <w:snapToGrid w:val="0"/>
              <w:spacing w:before="0" w:beforeAutospacing="0" w:after="0" w:afterAutospacing="0" w:line="288" w:lineRule="auto"/>
              <w:ind w:left="110" w:right="112"/>
              <w:jc w:val="left"/>
              <w:rPr>
                <w:rFonts w:ascii="Arial" w:hAnsi="Arial" w:cs="Arial"/>
                <w:color w:val="auto"/>
                <w:szCs w:val="21"/>
                <w:highlight w:val="none"/>
              </w:rPr>
            </w:pPr>
            <w:r>
              <w:rPr>
                <w:rFonts w:ascii="Arial" w:hAnsi="Arial" w:cs="Arial"/>
                <w:color w:val="auto"/>
                <w:szCs w:val="21"/>
                <w:highlight w:val="none"/>
              </w:rPr>
              <w:t>《中药处方与调剂技术规范》、《麻醉药品和精神药品管理条例》等相关法律法规，建立健全中药处方审核、调剂业务相关规范，确保中药处方审核及调剂准确度。</w:t>
            </w:r>
          </w:p>
          <w:p>
            <w:pPr>
              <w:pStyle w:val="155"/>
              <w:keepNext w:val="0"/>
              <w:keepLines w:val="0"/>
              <w:numPr>
                <w:ilvl w:val="0"/>
                <w:numId w:val="3"/>
              </w:numPr>
              <w:suppressLineNumbers w:val="0"/>
              <w:adjustRightInd w:val="0"/>
              <w:snapToGrid w:val="0"/>
              <w:spacing w:before="0" w:beforeAutospacing="0" w:after="0" w:afterAutospacing="0" w:line="288" w:lineRule="auto"/>
              <w:ind w:left="0" w:right="-15"/>
              <w:jc w:val="left"/>
              <w:rPr>
                <w:rFonts w:ascii="Arial" w:hAnsi="Arial" w:cs="Arial"/>
                <w:color w:val="auto"/>
                <w:spacing w:val="6"/>
                <w:szCs w:val="21"/>
                <w:highlight w:val="none"/>
              </w:rPr>
            </w:pPr>
            <w:r>
              <w:rPr>
                <w:rFonts w:ascii="Arial" w:hAnsi="Arial" w:cs="Arial"/>
                <w:color w:val="auto"/>
                <w:spacing w:val="5"/>
                <w:szCs w:val="21"/>
                <w:highlight w:val="none"/>
              </w:rPr>
              <w:t xml:space="preserve">中药煎煮：供应商的中药煎煮中心应符合或参照适用《医疗机构中药煎药室管理规范》 </w:t>
            </w:r>
            <w:r>
              <w:rPr>
                <w:rFonts w:ascii="Arial" w:hAnsi="Arial" w:cs="Arial"/>
                <w:color w:val="auto"/>
                <w:spacing w:val="3"/>
                <w:szCs w:val="21"/>
                <w:highlight w:val="none"/>
              </w:rPr>
              <w:t>等国家相关法律法规要求。供应商应按国家卫计委、国家中医药管理局等有关标准和质量要</w:t>
            </w:r>
            <w:r>
              <w:rPr>
                <w:rFonts w:ascii="Arial" w:hAnsi="Arial" w:cs="Arial"/>
                <w:color w:val="auto"/>
                <w:spacing w:val="-9"/>
                <w:szCs w:val="21"/>
                <w:highlight w:val="none"/>
              </w:rPr>
              <w:t>求进行煎煮服务，所使用的场地、设备、包装材料和环境卫生及煎药人员资质等都应符合《医</w:t>
            </w:r>
            <w:r>
              <w:rPr>
                <w:rFonts w:ascii="Arial" w:hAnsi="Arial" w:cs="Arial"/>
                <w:color w:val="auto"/>
                <w:spacing w:val="6"/>
                <w:szCs w:val="21"/>
                <w:highlight w:val="none"/>
              </w:rPr>
              <w:t xml:space="preserve">疗机构中药煎药室管理规范》的规定和《中药煎药机》、《中药汤剂包装机》等行业标准。 </w:t>
            </w:r>
          </w:p>
          <w:p>
            <w:pPr>
              <w:pStyle w:val="155"/>
              <w:keepNext w:val="0"/>
              <w:keepLines w:val="0"/>
              <w:suppressLineNumbers w:val="0"/>
              <w:adjustRightInd w:val="0"/>
              <w:snapToGrid w:val="0"/>
              <w:spacing w:before="0" w:beforeAutospacing="0" w:after="0" w:afterAutospacing="0" w:line="288" w:lineRule="auto"/>
              <w:ind w:left="0" w:right="-15"/>
              <w:jc w:val="left"/>
              <w:rPr>
                <w:rFonts w:ascii="Arial" w:hAnsi="Arial" w:cs="Arial"/>
                <w:color w:val="auto"/>
                <w:szCs w:val="21"/>
                <w:highlight w:val="none"/>
              </w:rPr>
            </w:pPr>
            <w:r>
              <w:rPr>
                <w:rFonts w:ascii="Arial" w:hAnsi="Arial" w:cs="Arial"/>
                <w:color w:val="auto"/>
                <w:spacing w:val="4"/>
                <w:szCs w:val="21"/>
                <w:highlight w:val="none"/>
              </w:rPr>
              <w:t>4</w:t>
            </w:r>
            <w:r>
              <w:rPr>
                <w:rFonts w:ascii="Arial" w:hAnsi="Arial" w:cs="Arial"/>
                <w:color w:val="auto"/>
                <w:spacing w:val="5"/>
                <w:szCs w:val="21"/>
                <w:highlight w:val="none"/>
              </w:rPr>
              <w:t xml:space="preserve">、药品配送：供应商应建立健全配送服务的相关配套设施及相关管理规范，确保饮片以及 </w:t>
            </w:r>
            <w:r>
              <w:rPr>
                <w:rFonts w:ascii="Arial" w:hAnsi="Arial" w:cs="Arial"/>
                <w:color w:val="auto"/>
                <w:spacing w:val="6"/>
                <w:szCs w:val="21"/>
                <w:highlight w:val="none"/>
              </w:rPr>
              <w:t>中药代煎配送的过程质量以及效率。</w:t>
            </w:r>
          </w:p>
          <w:p>
            <w:pPr>
              <w:pStyle w:val="155"/>
              <w:keepNext w:val="0"/>
              <w:keepLines w:val="0"/>
              <w:suppressLineNumbers w:val="0"/>
              <w:adjustRightInd w:val="0"/>
              <w:snapToGrid w:val="0"/>
              <w:spacing w:before="0" w:beforeAutospacing="0" w:after="0" w:afterAutospacing="0" w:line="288" w:lineRule="auto"/>
              <w:ind w:left="0" w:right="0"/>
              <w:jc w:val="left"/>
              <w:rPr>
                <w:rFonts w:ascii="Arial" w:hAnsi="Arial" w:cs="Arial"/>
                <w:b/>
                <w:color w:val="auto"/>
                <w:szCs w:val="21"/>
                <w:highlight w:val="none"/>
              </w:rPr>
            </w:pPr>
            <w:r>
              <w:rPr>
                <w:rFonts w:ascii="Arial" w:hAnsi="Arial" w:cs="Arial"/>
                <w:b/>
                <w:color w:val="auto"/>
                <w:szCs w:val="21"/>
                <w:highlight w:val="none"/>
              </w:rPr>
              <w:t>三、配送时间</w:t>
            </w:r>
          </w:p>
          <w:p>
            <w:pPr>
              <w:pStyle w:val="155"/>
              <w:keepNext w:val="0"/>
              <w:keepLines w:val="0"/>
              <w:suppressLineNumbers w:val="0"/>
              <w:adjustRightInd w:val="0"/>
              <w:snapToGrid w:val="0"/>
              <w:spacing w:before="0" w:beforeAutospacing="0" w:after="0" w:afterAutospacing="0" w:line="288" w:lineRule="auto"/>
              <w:ind w:left="0" w:right="0"/>
              <w:jc w:val="left"/>
              <w:rPr>
                <w:rFonts w:ascii="Arial" w:hAnsi="Arial" w:cs="Arial"/>
                <w:color w:val="auto"/>
                <w:szCs w:val="21"/>
                <w:highlight w:val="none"/>
              </w:rPr>
            </w:pPr>
            <w:r>
              <w:rPr>
                <w:rFonts w:ascii="Arial" w:hAnsi="Arial" w:cs="Arial"/>
                <w:color w:val="auto"/>
                <w:szCs w:val="21"/>
                <w:highlight w:val="none"/>
              </w:rPr>
              <w:t>1、配送医院时间：自收到采购人订单后12小时内送达。</w:t>
            </w:r>
          </w:p>
          <w:p>
            <w:pPr>
              <w:pStyle w:val="155"/>
              <w:keepNext w:val="0"/>
              <w:keepLines w:val="0"/>
              <w:suppressLineNumbers w:val="0"/>
              <w:adjustRightInd w:val="0"/>
              <w:snapToGrid w:val="0"/>
              <w:spacing w:before="0" w:beforeAutospacing="0" w:after="0" w:afterAutospacing="0" w:line="288" w:lineRule="auto"/>
              <w:ind w:left="0" w:right="2611"/>
              <w:jc w:val="left"/>
              <w:rPr>
                <w:rFonts w:ascii="Arial" w:hAnsi="Arial" w:cs="Arial"/>
                <w:b/>
                <w:color w:val="auto"/>
                <w:szCs w:val="21"/>
                <w:highlight w:val="none"/>
              </w:rPr>
            </w:pPr>
            <w:r>
              <w:rPr>
                <w:rFonts w:ascii="Arial" w:hAnsi="Arial" w:cs="Arial"/>
                <w:color w:val="auto"/>
                <w:szCs w:val="21"/>
                <w:highlight w:val="none"/>
              </w:rPr>
              <w:t>2、快递配送时效：需24小时内直接快递配送到患者指定地点。</w:t>
            </w:r>
            <w:r>
              <w:rPr>
                <w:rFonts w:ascii="Arial" w:hAnsi="Arial" w:cs="Arial"/>
                <w:b/>
                <w:color w:val="auto"/>
                <w:szCs w:val="21"/>
                <w:highlight w:val="none"/>
              </w:rPr>
              <w:t>四、费用与结算</w:t>
            </w:r>
          </w:p>
          <w:p>
            <w:pPr>
              <w:pStyle w:val="155"/>
              <w:keepNext w:val="0"/>
              <w:keepLines w:val="0"/>
              <w:suppressLineNumbers w:val="0"/>
              <w:adjustRightInd w:val="0"/>
              <w:snapToGrid w:val="0"/>
              <w:spacing w:before="0" w:beforeAutospacing="0" w:after="0" w:afterAutospacing="0" w:line="288" w:lineRule="auto"/>
              <w:ind w:left="0" w:right="0"/>
              <w:jc w:val="left"/>
              <w:rPr>
                <w:rFonts w:ascii="Arial" w:hAnsi="Arial" w:cs="Arial"/>
                <w:color w:val="auto"/>
                <w:szCs w:val="21"/>
                <w:highlight w:val="none"/>
              </w:rPr>
            </w:pPr>
            <w:r>
              <w:rPr>
                <w:rFonts w:ascii="Arial" w:hAnsi="Arial" w:cs="Arial"/>
                <w:color w:val="auto"/>
                <w:szCs w:val="21"/>
                <w:highlight w:val="none"/>
              </w:rPr>
              <w:t>1、代煎费：按自治区相关规定的医疗服务收费标准，由采购人代供应商向患者收取，</w:t>
            </w:r>
            <w:r>
              <w:rPr>
                <w:color w:val="auto"/>
                <w:highlight w:val="none"/>
              </w:rPr>
              <w:t>对账</w:t>
            </w:r>
          </w:p>
          <w:p>
            <w:pPr>
              <w:pStyle w:val="155"/>
              <w:keepNext w:val="0"/>
              <w:keepLines w:val="0"/>
              <w:suppressLineNumbers w:val="0"/>
              <w:adjustRightInd w:val="0"/>
              <w:snapToGrid w:val="0"/>
              <w:spacing w:before="0" w:beforeAutospacing="0" w:after="0" w:afterAutospacing="0" w:line="288" w:lineRule="auto"/>
              <w:ind w:left="0" w:right="0"/>
              <w:jc w:val="left"/>
              <w:rPr>
                <w:rFonts w:ascii="Arial" w:hAnsi="Arial" w:cs="Arial"/>
                <w:color w:val="auto"/>
                <w:szCs w:val="21"/>
                <w:highlight w:val="none"/>
              </w:rPr>
            </w:pPr>
            <w:r>
              <w:rPr>
                <w:rFonts w:ascii="Arial" w:hAnsi="Arial" w:cs="Arial"/>
                <w:color w:val="auto"/>
                <w:szCs w:val="21"/>
                <w:highlight w:val="none"/>
              </w:rPr>
              <w:t>一致后，供应商按</w:t>
            </w:r>
            <w:r>
              <w:rPr>
                <w:rFonts w:hint="eastAsia" w:ascii="Arial" w:hAnsi="Arial" w:cs="Arial"/>
                <w:color w:val="auto"/>
                <w:szCs w:val="21"/>
                <w:highlight w:val="none"/>
              </w:rPr>
              <w:t>成交</w:t>
            </w:r>
            <w:r>
              <w:rPr>
                <w:rFonts w:ascii="Arial" w:hAnsi="Arial" w:cs="Arial"/>
                <w:color w:val="auto"/>
                <w:szCs w:val="21"/>
                <w:highlight w:val="none"/>
              </w:rPr>
              <w:t>单价收取代煎费，按月开具发票交付采购人。</w:t>
            </w:r>
          </w:p>
          <w:p>
            <w:pPr>
              <w:pStyle w:val="155"/>
              <w:keepNext w:val="0"/>
              <w:keepLines w:val="0"/>
              <w:suppressLineNumbers w:val="0"/>
              <w:spacing w:before="0" w:beforeAutospacing="0" w:after="0" w:afterAutospacing="0" w:line="288" w:lineRule="auto"/>
              <w:ind w:left="0" w:right="98"/>
              <w:rPr>
                <w:color w:val="auto"/>
                <w:highlight w:val="none"/>
              </w:rPr>
            </w:pPr>
            <w:r>
              <w:rPr>
                <w:color w:val="auto"/>
                <w:spacing w:val="4"/>
                <w:highlight w:val="none"/>
              </w:rPr>
              <w:t>2</w:t>
            </w:r>
            <w:r>
              <w:rPr>
                <w:color w:val="auto"/>
                <w:spacing w:val="-3"/>
                <w:highlight w:val="none"/>
              </w:rPr>
              <w:t>、配送费：由患者在指定区域办理快递缴费登记手续，桂林市六城区及县城区免费配送</w:t>
            </w:r>
            <w:r>
              <w:rPr>
                <w:color w:val="auto"/>
                <w:spacing w:val="7"/>
                <w:highlight w:val="none"/>
              </w:rPr>
              <w:t>（不</w:t>
            </w:r>
            <w:r>
              <w:rPr>
                <w:color w:val="auto"/>
                <w:spacing w:val="6"/>
                <w:highlight w:val="none"/>
              </w:rPr>
              <w:t>包含乡镇村</w:t>
            </w:r>
            <w:r>
              <w:rPr>
                <w:rFonts w:hint="eastAsia"/>
                <w:color w:val="auto"/>
                <w:spacing w:val="-102"/>
                <w:highlight w:val="none"/>
              </w:rPr>
              <w:t>）</w:t>
            </w:r>
            <w:r>
              <w:rPr>
                <w:color w:val="auto"/>
                <w:highlight w:val="none"/>
              </w:rPr>
              <w:t xml:space="preserve"> </w:t>
            </w:r>
          </w:p>
          <w:p>
            <w:pPr>
              <w:pStyle w:val="155"/>
              <w:keepNext w:val="0"/>
              <w:keepLines w:val="0"/>
              <w:suppressLineNumbers w:val="0"/>
              <w:spacing w:before="0" w:beforeAutospacing="0" w:after="0" w:afterAutospacing="0" w:line="288" w:lineRule="auto"/>
              <w:ind w:left="0" w:right="0"/>
              <w:rPr>
                <w:color w:val="auto"/>
                <w:highlight w:val="none"/>
              </w:rPr>
            </w:pPr>
            <w:r>
              <w:rPr>
                <w:color w:val="auto"/>
                <w:highlight w:val="none"/>
              </w:rPr>
              <w:t xml:space="preserve">3、对账、结算： </w:t>
            </w:r>
          </w:p>
          <w:p>
            <w:pPr>
              <w:pStyle w:val="155"/>
              <w:keepNext w:val="0"/>
              <w:keepLines w:val="0"/>
              <w:suppressLineNumbers w:val="0"/>
              <w:tabs>
                <w:tab w:val="left" w:pos="655"/>
              </w:tabs>
              <w:spacing w:before="0" w:beforeAutospacing="0" w:after="0" w:afterAutospacing="0" w:line="288" w:lineRule="auto"/>
              <w:ind w:left="0" w:right="106"/>
              <w:jc w:val="left"/>
              <w:rPr>
                <w:color w:val="auto"/>
                <w:highlight w:val="none"/>
              </w:rPr>
            </w:pPr>
            <w:r>
              <w:rPr>
                <w:rFonts w:hint="eastAsia"/>
                <w:color w:val="auto"/>
                <w:spacing w:val="-1"/>
                <w:highlight w:val="none"/>
              </w:rPr>
              <w:t>（1）</w:t>
            </w:r>
            <w:r>
              <w:rPr>
                <w:color w:val="auto"/>
                <w:spacing w:val="-1"/>
                <w:highlight w:val="none"/>
              </w:rPr>
              <w:t>供应商每月</w:t>
            </w:r>
            <w:r>
              <w:rPr>
                <w:color w:val="auto"/>
                <w:highlight w:val="none"/>
              </w:rPr>
              <w:t>25</w:t>
            </w:r>
            <w:r>
              <w:rPr>
                <w:color w:val="auto"/>
                <w:spacing w:val="1"/>
                <w:highlight w:val="none"/>
              </w:rPr>
              <w:t>日把当月中药煎煮中心的代煎费用按照双方约定的方式同采购人指定部</w:t>
            </w:r>
            <w:r>
              <w:rPr>
                <w:color w:val="auto"/>
                <w:spacing w:val="6"/>
                <w:highlight w:val="none"/>
              </w:rPr>
              <w:t>门进行对账。</w:t>
            </w:r>
            <w:r>
              <w:rPr>
                <w:color w:val="auto"/>
                <w:highlight w:val="none"/>
              </w:rPr>
              <w:t xml:space="preserve"> </w:t>
            </w:r>
          </w:p>
          <w:p>
            <w:pPr>
              <w:pStyle w:val="155"/>
              <w:keepNext w:val="0"/>
              <w:keepLines w:val="0"/>
              <w:suppressLineNumbers w:val="0"/>
              <w:tabs>
                <w:tab w:val="left" w:pos="658"/>
              </w:tabs>
              <w:spacing w:before="0" w:beforeAutospacing="0" w:after="0" w:afterAutospacing="0" w:line="288" w:lineRule="auto"/>
              <w:ind w:left="0" w:right="104"/>
              <w:jc w:val="left"/>
              <w:rPr>
                <w:color w:val="auto"/>
                <w:highlight w:val="none"/>
              </w:rPr>
            </w:pPr>
            <w:r>
              <w:rPr>
                <w:rFonts w:hint="eastAsia"/>
                <w:color w:val="auto"/>
                <w:spacing w:val="-1"/>
                <w:highlight w:val="none"/>
              </w:rPr>
              <w:t>（2）</w:t>
            </w:r>
            <w:r>
              <w:rPr>
                <w:color w:val="auto"/>
                <w:spacing w:val="-1"/>
                <w:highlight w:val="none"/>
              </w:rPr>
              <w:t>供应商每月</w:t>
            </w:r>
            <w:r>
              <w:rPr>
                <w:color w:val="auto"/>
                <w:highlight w:val="none"/>
              </w:rPr>
              <w:t>10</w:t>
            </w:r>
            <w:r>
              <w:rPr>
                <w:color w:val="auto"/>
                <w:spacing w:val="2"/>
                <w:highlight w:val="none"/>
              </w:rPr>
              <w:t>日前，双方对上月代煎费用结算清单进行对账(不一致时以采购人数据为准),对账完成后签字确认，</w:t>
            </w:r>
            <w:r>
              <w:rPr>
                <w:rFonts w:hint="eastAsia" w:ascii="Arial" w:hAnsi="Arial" w:cs="Arial"/>
                <w:color w:val="auto"/>
                <w:szCs w:val="21"/>
                <w:highlight w:val="none"/>
              </w:rPr>
              <w:t>成交</w:t>
            </w:r>
            <w:r>
              <w:rPr>
                <w:color w:val="auto"/>
                <w:spacing w:val="2"/>
                <w:highlight w:val="none"/>
              </w:rPr>
              <w:t>供应商开具增值税专用发票交与采购人。采购人在收到</w:t>
            </w:r>
            <w:r>
              <w:rPr>
                <w:rFonts w:hint="eastAsia" w:ascii="Arial" w:hAnsi="Arial" w:cs="Arial"/>
                <w:color w:val="auto"/>
                <w:szCs w:val="21"/>
                <w:highlight w:val="none"/>
              </w:rPr>
              <w:t>成交</w:t>
            </w:r>
            <w:r>
              <w:rPr>
                <w:color w:val="auto"/>
                <w:spacing w:val="5"/>
                <w:highlight w:val="none"/>
              </w:rPr>
              <w:t>供应商代煎费用发票后一个月内付款给供应商。</w:t>
            </w:r>
          </w:p>
          <w:p>
            <w:pPr>
              <w:pStyle w:val="155"/>
              <w:keepNext w:val="0"/>
              <w:keepLines w:val="0"/>
              <w:suppressLineNumbers w:val="0"/>
              <w:spacing w:before="0" w:beforeAutospacing="0" w:after="0" w:afterAutospacing="0" w:line="288" w:lineRule="auto"/>
              <w:ind w:left="0" w:right="0"/>
              <w:rPr>
                <w:rFonts w:hint="default" w:ascii="Arial" w:hAnsi="Arial" w:eastAsia="宋体" w:cs="Arial"/>
                <w:b/>
                <w:color w:val="auto"/>
                <w:szCs w:val="21"/>
                <w:highlight w:val="none"/>
                <w:lang w:val="en-US" w:eastAsia="zh-CN"/>
              </w:rPr>
            </w:pPr>
            <w:r>
              <w:rPr>
                <w:rFonts w:hint="eastAsia" w:ascii="Arial" w:hAnsi="Arial" w:cs="Arial"/>
                <w:b/>
                <w:color w:val="auto"/>
                <w:szCs w:val="21"/>
                <w:highlight w:val="none"/>
                <w:lang w:val="en-US" w:eastAsia="zh-CN"/>
              </w:rPr>
              <w:t>4、饮片结算：</w:t>
            </w:r>
            <w:r>
              <w:rPr>
                <w:rFonts w:hint="eastAsia" w:ascii="Arial" w:hAnsi="Arial" w:cs="Arial"/>
                <w:b w:val="0"/>
                <w:bCs/>
                <w:color w:val="auto"/>
                <w:szCs w:val="21"/>
                <w:highlight w:val="none"/>
                <w:lang w:val="en-US" w:eastAsia="zh-CN"/>
              </w:rPr>
              <w:t>本项目如由本项目成交供应商提供饮片，</w:t>
            </w:r>
            <w:r>
              <w:rPr>
                <w:rFonts w:ascii="Arial" w:hAnsi="Arial" w:cs="Arial"/>
                <w:color w:val="auto"/>
                <w:szCs w:val="21"/>
                <w:highlight w:val="none"/>
              </w:rPr>
              <w:t>无预付款，根据供货品种的数量乘以单价计算出核算总额，货物交货验收及计量检定合格或校准符合后采购人向</w:t>
            </w:r>
            <w:r>
              <w:rPr>
                <w:rFonts w:hint="eastAsia" w:ascii="Arial" w:hAnsi="Arial" w:cs="Arial"/>
                <w:color w:val="auto"/>
                <w:szCs w:val="21"/>
                <w:highlight w:val="none"/>
              </w:rPr>
              <w:t>成交</w:t>
            </w:r>
            <w:r>
              <w:rPr>
                <w:rFonts w:ascii="Arial" w:hAnsi="Arial" w:cs="Arial"/>
                <w:color w:val="auto"/>
                <w:szCs w:val="21"/>
                <w:highlight w:val="none"/>
              </w:rPr>
              <w:t>供应商支付当期货款,</w:t>
            </w:r>
            <w:r>
              <w:rPr>
                <w:rFonts w:hint="eastAsia" w:ascii="Arial" w:hAnsi="Arial" w:cs="Arial"/>
                <w:color w:val="auto"/>
                <w:szCs w:val="21"/>
                <w:highlight w:val="none"/>
              </w:rPr>
              <w:t>成交</w:t>
            </w:r>
            <w:r>
              <w:rPr>
                <w:rFonts w:ascii="Arial" w:hAnsi="Arial" w:cs="Arial"/>
                <w:color w:val="auto"/>
                <w:szCs w:val="21"/>
                <w:highlight w:val="none"/>
              </w:rPr>
              <w:t>供应商每次收款前应向采购人出具等额有效的增值税普通发票。采购人应将药品收支纳入预算管理，严格按照合同约定的时间支付货款。货款结算为银行转账、承兑汇票、供应链等方式，于货物验收合格入库，手续齐全后</w:t>
            </w:r>
            <w:r>
              <w:rPr>
                <w:rFonts w:ascii="Arial" w:hAnsi="Arial" w:cs="Arial"/>
                <w:color w:val="auto"/>
                <w:szCs w:val="21"/>
                <w:highlight w:val="none"/>
                <w:shd w:val="clear" w:color="auto" w:fill="auto"/>
              </w:rPr>
              <w:t>18个月</w:t>
            </w:r>
            <w:r>
              <w:rPr>
                <w:rFonts w:ascii="Arial" w:hAnsi="Arial" w:cs="Arial"/>
                <w:color w:val="auto"/>
                <w:szCs w:val="21"/>
                <w:highlight w:val="none"/>
              </w:rPr>
              <w:t>支付。</w:t>
            </w:r>
          </w:p>
          <w:p>
            <w:pPr>
              <w:pStyle w:val="155"/>
              <w:keepNext w:val="0"/>
              <w:keepLines w:val="0"/>
              <w:suppressLineNumbers w:val="0"/>
              <w:spacing w:before="0" w:beforeAutospacing="0" w:after="0" w:afterAutospacing="0" w:line="288" w:lineRule="auto"/>
              <w:ind w:left="0" w:right="0"/>
              <w:rPr>
                <w:color w:val="auto"/>
                <w:highlight w:val="none"/>
              </w:rPr>
            </w:pPr>
            <w:r>
              <w:rPr>
                <w:rFonts w:ascii="Arial" w:hAnsi="Arial" w:cs="Arial"/>
                <w:b/>
                <w:color w:val="auto"/>
                <w:szCs w:val="21"/>
                <w:highlight w:val="none"/>
              </w:rPr>
              <w:t>五、合同履行期限</w:t>
            </w:r>
            <w:r>
              <w:rPr>
                <w:color w:val="auto"/>
                <w:highlight w:val="none"/>
              </w:rPr>
              <w:t>：</w:t>
            </w:r>
            <w:r>
              <w:rPr>
                <w:rFonts w:hint="eastAsia"/>
                <w:color w:val="auto"/>
                <w:highlight w:val="none"/>
                <w:lang w:eastAsia="zh-CN"/>
              </w:rPr>
              <w:t>自签订合同之日起两年</w:t>
            </w:r>
            <w:r>
              <w:rPr>
                <w:color w:val="auto"/>
                <w:highlight w:val="none"/>
              </w:rPr>
              <w:t xml:space="preserve">。 </w:t>
            </w:r>
          </w:p>
          <w:p>
            <w:pPr>
              <w:pStyle w:val="155"/>
              <w:keepNext w:val="0"/>
              <w:keepLines w:val="0"/>
              <w:suppressLineNumbers w:val="0"/>
              <w:spacing w:before="0" w:beforeAutospacing="0" w:after="0" w:afterAutospacing="0" w:line="288" w:lineRule="auto"/>
              <w:ind w:left="0" w:right="0"/>
              <w:rPr>
                <w:rFonts w:hint="eastAsia" w:ascii="微软雅黑" w:eastAsia="微软雅黑"/>
                <w:b/>
                <w:color w:val="auto"/>
                <w:highlight w:val="none"/>
              </w:rPr>
            </w:pPr>
            <w:r>
              <w:rPr>
                <w:rFonts w:hint="eastAsia" w:ascii="Arial" w:hAnsi="Arial" w:cs="Arial"/>
                <w:b/>
                <w:color w:val="auto"/>
                <w:szCs w:val="21"/>
                <w:highlight w:val="none"/>
              </w:rPr>
              <w:t>六、其他要求</w:t>
            </w:r>
          </w:p>
          <w:p>
            <w:pPr>
              <w:pStyle w:val="155"/>
              <w:keepNext w:val="0"/>
              <w:keepLines w:val="0"/>
              <w:suppressLineNumbers w:val="0"/>
              <w:spacing w:before="0" w:beforeAutospacing="0" w:after="0" w:afterAutospacing="0" w:line="288" w:lineRule="auto"/>
              <w:ind w:left="0" w:right="0"/>
              <w:rPr>
                <w:color w:val="auto"/>
                <w:highlight w:val="none"/>
              </w:rPr>
            </w:pPr>
            <w:r>
              <w:rPr>
                <w:color w:val="auto"/>
                <w:highlight w:val="none"/>
              </w:rPr>
              <w:t xml:space="preserve">1、采购人有权随时抽查、检验，并对供应商药品质量和服务质量进行监督。 </w:t>
            </w:r>
          </w:p>
          <w:p>
            <w:pPr>
              <w:pStyle w:val="155"/>
              <w:keepNext w:val="0"/>
              <w:keepLines w:val="0"/>
              <w:suppressLineNumbers w:val="0"/>
              <w:spacing w:before="0" w:beforeAutospacing="0" w:after="0" w:afterAutospacing="0" w:line="288" w:lineRule="auto"/>
              <w:ind w:left="0" w:right="0"/>
              <w:rPr>
                <w:color w:val="auto"/>
                <w:highlight w:val="none"/>
              </w:rPr>
            </w:pPr>
            <w:r>
              <w:rPr>
                <w:color w:val="auto"/>
                <w:highlight w:val="none"/>
              </w:rPr>
              <w:t xml:space="preserve">2、采购人有权针对供应商的煎煮质量、配送服务等向患者进行满意度测评、考核和惩处。 </w:t>
            </w:r>
          </w:p>
          <w:p>
            <w:pPr>
              <w:pStyle w:val="155"/>
              <w:keepNext w:val="0"/>
              <w:keepLines w:val="0"/>
              <w:suppressLineNumbers w:val="0"/>
              <w:spacing w:before="0" w:beforeAutospacing="0" w:after="0" w:afterAutospacing="0" w:line="288" w:lineRule="auto"/>
              <w:ind w:left="0" w:right="220"/>
              <w:rPr>
                <w:color w:val="auto"/>
                <w:highlight w:val="none"/>
              </w:rPr>
            </w:pPr>
            <w:r>
              <w:rPr>
                <w:color w:val="auto"/>
                <w:highlight w:val="none"/>
              </w:rPr>
              <w:t xml:space="preserve">3、供应商提供的药品包装应完好无损，如因配送过程中发生破损由供应商与快递公司承担责任并与患者协商解决。 </w:t>
            </w:r>
          </w:p>
          <w:p>
            <w:pPr>
              <w:pStyle w:val="155"/>
              <w:keepNext w:val="0"/>
              <w:keepLines w:val="0"/>
              <w:suppressLineNumbers w:val="0"/>
              <w:spacing w:before="0" w:beforeAutospacing="0" w:after="0" w:afterAutospacing="0" w:line="288" w:lineRule="auto"/>
              <w:ind w:left="0" w:right="0"/>
              <w:rPr>
                <w:color w:val="auto"/>
                <w:highlight w:val="none"/>
              </w:rPr>
            </w:pPr>
            <w:r>
              <w:rPr>
                <w:color w:val="auto"/>
                <w:spacing w:val="4"/>
                <w:highlight w:val="none"/>
              </w:rPr>
              <w:t>4</w:t>
            </w:r>
            <w:r>
              <w:rPr>
                <w:color w:val="auto"/>
                <w:spacing w:val="3"/>
                <w:highlight w:val="none"/>
              </w:rPr>
              <w:t xml:space="preserve">、若因供应商原因导致未能及时将药品送至指定交付对象时，供应商应及时向采购人报备， </w:t>
            </w:r>
            <w:r>
              <w:rPr>
                <w:color w:val="auto"/>
                <w:spacing w:val="6"/>
                <w:highlight w:val="none"/>
              </w:rPr>
              <w:t>并做好患者告知工作。</w:t>
            </w:r>
            <w:r>
              <w:rPr>
                <w:color w:val="auto"/>
                <w:highlight w:val="none"/>
              </w:rPr>
              <w:t xml:space="preserve"> </w:t>
            </w:r>
          </w:p>
          <w:p>
            <w:pPr>
              <w:pStyle w:val="155"/>
              <w:keepNext w:val="0"/>
              <w:keepLines w:val="0"/>
              <w:suppressLineNumbers w:val="0"/>
              <w:spacing w:before="0" w:beforeAutospacing="0" w:after="0" w:afterAutospacing="0" w:line="288" w:lineRule="auto"/>
              <w:ind w:left="0" w:right="218"/>
              <w:rPr>
                <w:color w:val="auto"/>
                <w:highlight w:val="none"/>
              </w:rPr>
            </w:pPr>
            <w:r>
              <w:rPr>
                <w:color w:val="auto"/>
                <w:highlight w:val="none"/>
              </w:rPr>
              <w:t xml:space="preserve">5、供应商中药煎煮中心项目实施中如提供虚假文件、提供不合格产品、不足量或不按时供货，给采购人造成实际损失的，供应商应承担相应责任。 </w:t>
            </w:r>
          </w:p>
          <w:p>
            <w:pPr>
              <w:pStyle w:val="155"/>
              <w:keepNext w:val="0"/>
              <w:keepLines w:val="0"/>
              <w:suppressLineNumbers w:val="0"/>
              <w:spacing w:before="0" w:beforeAutospacing="0" w:after="0" w:afterAutospacing="0" w:line="288" w:lineRule="auto"/>
              <w:ind w:left="0" w:right="110"/>
              <w:rPr>
                <w:color w:val="auto"/>
                <w:highlight w:val="none"/>
              </w:rPr>
            </w:pPr>
            <w:r>
              <w:rPr>
                <w:color w:val="auto"/>
                <w:highlight w:val="none"/>
              </w:rPr>
              <w:t xml:space="preserve">6、因供应商药品安全、质量、调剂、煎煮质量、配送等出现问题，供应商应承担责任。如因此产生投诉、诉讼等纠纷或质量、安全问题，由供应商承担相应责任并负责解决：如因此致采购人涉诉的，供应商应承担由此给采购人造成的损失，包括不限于经济赔偿、诉讼费、律师费等。 </w:t>
            </w:r>
          </w:p>
          <w:p>
            <w:pPr>
              <w:pStyle w:val="155"/>
              <w:keepNext w:val="0"/>
              <w:keepLines w:val="0"/>
              <w:suppressLineNumbers w:val="0"/>
              <w:spacing w:before="0" w:beforeAutospacing="0" w:after="0" w:afterAutospacing="0" w:line="288" w:lineRule="auto"/>
              <w:ind w:left="0" w:right="210"/>
              <w:rPr>
                <w:color w:val="auto"/>
                <w:highlight w:val="none"/>
              </w:rPr>
            </w:pPr>
            <w:r>
              <w:rPr>
                <w:color w:val="auto"/>
                <w:highlight w:val="none"/>
              </w:rPr>
              <w:t xml:space="preserve">7、供应商不得泄露采购人提供的任何处方信息及患者信息，未经采购人允许不得私自用于任何商业用途。 </w:t>
            </w:r>
          </w:p>
          <w:p>
            <w:pPr>
              <w:pStyle w:val="155"/>
              <w:keepNext w:val="0"/>
              <w:keepLines w:val="0"/>
              <w:suppressLineNumbers w:val="0"/>
              <w:adjustRightInd w:val="0"/>
              <w:snapToGrid w:val="0"/>
              <w:spacing w:before="0" w:beforeAutospacing="0" w:after="0" w:afterAutospacing="0" w:line="288" w:lineRule="auto"/>
              <w:ind w:left="0" w:right="0"/>
              <w:jc w:val="left"/>
              <w:rPr>
                <w:rFonts w:ascii="Arial" w:hAnsi="Arial" w:cs="Arial"/>
                <w:color w:val="auto"/>
                <w:szCs w:val="21"/>
                <w:highlight w:val="none"/>
              </w:rPr>
            </w:pPr>
            <w:r>
              <w:rPr>
                <w:color w:val="auto"/>
                <w:highlight w:val="none"/>
              </w:rPr>
              <w:t xml:space="preserve">8、采购人对系统数据享有所有权、知情权、支配权等采购人需要主张的权利。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0221" w:type="dxa"/>
            <w:gridSpan w:val="3"/>
            <w:noWrap w:val="0"/>
            <w:vAlign w:val="center"/>
          </w:tcPr>
          <w:p>
            <w:pPr>
              <w:pStyle w:val="155"/>
              <w:keepNext w:val="0"/>
              <w:keepLines w:val="0"/>
              <w:suppressLineNumbers w:val="0"/>
              <w:adjustRightInd w:val="0"/>
              <w:snapToGrid w:val="0"/>
              <w:spacing w:before="0" w:beforeAutospacing="0" w:after="0" w:afterAutospacing="0" w:line="288" w:lineRule="auto"/>
              <w:ind w:left="110" w:right="0"/>
              <w:jc w:val="center"/>
              <w:rPr>
                <w:color w:val="auto"/>
                <w:highlight w:val="none"/>
              </w:rPr>
            </w:pPr>
            <w:r>
              <w:rPr>
                <w:color w:val="auto"/>
                <w:highlight w:val="none"/>
              </w:rPr>
              <w:t>商务要求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jc w:val="center"/>
        </w:trPr>
        <w:tc>
          <w:tcPr>
            <w:tcW w:w="1618" w:type="dxa"/>
            <w:gridSpan w:val="2"/>
            <w:noWrap w:val="0"/>
            <w:vAlign w:val="center"/>
          </w:tcPr>
          <w:p>
            <w:pPr>
              <w:pStyle w:val="155"/>
              <w:keepNext w:val="0"/>
              <w:keepLines w:val="0"/>
              <w:suppressLineNumbers w:val="0"/>
              <w:adjustRightInd w:val="0"/>
              <w:snapToGrid w:val="0"/>
              <w:spacing w:before="177" w:beforeAutospacing="0" w:after="0" w:afterAutospacing="0" w:line="288" w:lineRule="auto"/>
              <w:ind w:left="0" w:right="0"/>
              <w:jc w:val="center"/>
              <w:rPr>
                <w:rFonts w:hint="default" w:ascii="Arial" w:hAnsi="Arial" w:cs="Arial"/>
                <w:color w:val="auto"/>
                <w:szCs w:val="21"/>
                <w:highlight w:val="none"/>
              </w:rPr>
            </w:pPr>
            <w:r>
              <w:rPr>
                <w:rFonts w:hint="default" w:ascii="Arial" w:hAnsi="Arial" w:cs="Arial"/>
                <w:color w:val="auto"/>
                <w:highlight w:val="none"/>
              </w:rPr>
              <w:t>最高限价</w:t>
            </w:r>
          </w:p>
        </w:tc>
        <w:tc>
          <w:tcPr>
            <w:tcW w:w="8603" w:type="dxa"/>
            <w:noWrap w:val="0"/>
            <w:vAlign w:val="center"/>
          </w:tcPr>
          <w:p>
            <w:pPr>
              <w:pStyle w:val="155"/>
              <w:keepNext w:val="0"/>
              <w:keepLines w:val="0"/>
              <w:suppressLineNumbers w:val="0"/>
              <w:adjustRightInd w:val="0"/>
              <w:snapToGrid w:val="0"/>
              <w:spacing w:before="110" w:beforeAutospacing="0" w:after="0" w:afterAutospacing="0" w:line="288" w:lineRule="auto"/>
              <w:ind w:left="0" w:right="0"/>
              <w:jc w:val="left"/>
              <w:rPr>
                <w:rFonts w:hint="default" w:ascii="Arial" w:hAnsi="Arial" w:cs="Arial"/>
                <w:color w:val="auto"/>
                <w:highlight w:val="none"/>
              </w:rPr>
            </w:pPr>
            <w:r>
              <w:rPr>
                <w:rFonts w:hint="default" w:ascii="Arial" w:hAnsi="Arial" w:cs="Arial"/>
                <w:color w:val="auto"/>
                <w:highlight w:val="none"/>
              </w:rPr>
              <w:t>5 元/剂，</w:t>
            </w:r>
            <w:r>
              <w:rPr>
                <w:rFonts w:hint="default" w:ascii="Arial" w:hAnsi="Arial" w:eastAsia="微软雅黑" w:cs="Arial"/>
                <w:b/>
                <w:color w:val="auto"/>
                <w:highlight w:val="none"/>
              </w:rPr>
              <w:t>响应报价超过最高限价的，响应文件按无效处理。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jc w:val="center"/>
        </w:trPr>
        <w:tc>
          <w:tcPr>
            <w:tcW w:w="1618" w:type="dxa"/>
            <w:gridSpan w:val="2"/>
            <w:noWrap w:val="0"/>
            <w:vAlign w:val="center"/>
          </w:tcPr>
          <w:p>
            <w:pPr>
              <w:pStyle w:val="155"/>
              <w:keepNext w:val="0"/>
              <w:keepLines w:val="0"/>
              <w:suppressLineNumbers w:val="0"/>
              <w:adjustRightInd w:val="0"/>
              <w:snapToGrid w:val="0"/>
              <w:spacing w:before="0" w:beforeAutospacing="0" w:after="0" w:afterAutospacing="0" w:line="288" w:lineRule="auto"/>
              <w:ind w:left="0" w:right="0"/>
              <w:jc w:val="center"/>
              <w:rPr>
                <w:rFonts w:hint="default" w:ascii="Arial" w:hAnsi="Arial" w:cs="Arial"/>
                <w:color w:val="auto"/>
                <w:szCs w:val="21"/>
                <w:highlight w:val="none"/>
              </w:rPr>
            </w:pPr>
            <w:r>
              <w:rPr>
                <w:rFonts w:hint="default" w:ascii="Arial" w:hAnsi="Arial" w:cs="Arial"/>
                <w:color w:val="auto"/>
                <w:highlight w:val="none"/>
              </w:rPr>
              <w:t>服务质量</w:t>
            </w:r>
          </w:p>
        </w:tc>
        <w:tc>
          <w:tcPr>
            <w:tcW w:w="8603" w:type="dxa"/>
            <w:noWrap w:val="0"/>
            <w:vAlign w:val="center"/>
          </w:tcPr>
          <w:p>
            <w:pPr>
              <w:pStyle w:val="155"/>
              <w:keepNext w:val="0"/>
              <w:keepLines w:val="0"/>
              <w:suppressLineNumbers w:val="0"/>
              <w:adjustRightInd w:val="0"/>
              <w:snapToGrid w:val="0"/>
              <w:spacing w:before="0" w:beforeAutospacing="0" w:after="0" w:afterAutospacing="0" w:line="288" w:lineRule="auto"/>
              <w:ind w:left="0" w:right="0"/>
              <w:jc w:val="left"/>
              <w:rPr>
                <w:rFonts w:hint="default" w:ascii="Arial" w:hAnsi="Arial" w:cs="Arial"/>
                <w:color w:val="auto"/>
                <w:highlight w:val="none"/>
              </w:rPr>
            </w:pPr>
            <w:r>
              <w:rPr>
                <w:rFonts w:hint="default" w:ascii="Arial" w:hAnsi="Arial" w:cs="Arial"/>
                <w:color w:val="auto"/>
                <w:highlight w:val="none"/>
              </w:rPr>
              <w:t>符合国家规定的标准、政策和现行技术规范、规程要求。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618" w:type="dxa"/>
            <w:gridSpan w:val="2"/>
            <w:noWrap w:val="0"/>
            <w:vAlign w:val="center"/>
          </w:tcPr>
          <w:p>
            <w:pPr>
              <w:pStyle w:val="155"/>
              <w:keepNext w:val="0"/>
              <w:keepLines w:val="0"/>
              <w:suppressLineNumbers w:val="0"/>
              <w:adjustRightInd w:val="0"/>
              <w:snapToGrid w:val="0"/>
              <w:spacing w:before="0" w:beforeAutospacing="0" w:after="0" w:afterAutospacing="0" w:line="288" w:lineRule="auto"/>
              <w:ind w:left="0" w:right="0"/>
              <w:jc w:val="center"/>
              <w:rPr>
                <w:rFonts w:hint="default" w:ascii="Arial" w:hAnsi="Arial" w:cs="Arial"/>
                <w:color w:val="auto"/>
                <w:szCs w:val="21"/>
                <w:highlight w:val="none"/>
              </w:rPr>
            </w:pPr>
            <w:r>
              <w:rPr>
                <w:rFonts w:hint="default" w:ascii="Arial" w:hAnsi="Arial" w:cs="Arial"/>
                <w:color w:val="auto"/>
                <w:highlight w:val="none"/>
              </w:rPr>
              <w:t>处理问题响应时间</w:t>
            </w:r>
          </w:p>
        </w:tc>
        <w:tc>
          <w:tcPr>
            <w:tcW w:w="8603" w:type="dxa"/>
            <w:noWrap w:val="0"/>
            <w:vAlign w:val="center"/>
          </w:tcPr>
          <w:p>
            <w:pPr>
              <w:pStyle w:val="155"/>
              <w:keepNext w:val="0"/>
              <w:keepLines w:val="0"/>
              <w:suppressLineNumbers w:val="0"/>
              <w:adjustRightInd w:val="0"/>
              <w:snapToGrid w:val="0"/>
              <w:spacing w:before="0" w:beforeAutospacing="0" w:after="0" w:afterAutospacing="0" w:line="288" w:lineRule="auto"/>
              <w:ind w:left="0" w:right="0"/>
              <w:jc w:val="left"/>
              <w:rPr>
                <w:rFonts w:hint="default" w:ascii="Arial" w:hAnsi="Arial" w:cs="Arial"/>
                <w:color w:val="auto"/>
                <w:highlight w:val="none"/>
              </w:rPr>
            </w:pPr>
            <w:r>
              <w:rPr>
                <w:rFonts w:hint="default" w:ascii="Arial" w:hAnsi="Arial" w:eastAsia="Calibri" w:cs="Arial"/>
                <w:color w:val="auto"/>
                <w:highlight w:val="none"/>
              </w:rPr>
              <w:t>1</w:t>
            </w:r>
            <w:r>
              <w:rPr>
                <w:rFonts w:hint="default" w:ascii="Arial" w:hAnsi="Arial" w:cs="Arial"/>
                <w:color w:val="auto"/>
                <w:highlight w:val="none"/>
              </w:rPr>
              <w:t xml:space="preserve">、接到采购人电话通知后 </w:t>
            </w:r>
            <w:r>
              <w:rPr>
                <w:rFonts w:hint="default" w:ascii="Arial" w:hAnsi="Arial" w:eastAsia="Calibri" w:cs="Arial"/>
                <w:color w:val="auto"/>
                <w:highlight w:val="none"/>
              </w:rPr>
              <w:t xml:space="preserve">30 </w:t>
            </w:r>
            <w:r>
              <w:rPr>
                <w:rFonts w:hint="default" w:ascii="Arial" w:hAnsi="Arial" w:cs="Arial"/>
                <w:color w:val="auto"/>
                <w:highlight w:val="none"/>
              </w:rPr>
              <w:t>分钟内响应，</w:t>
            </w:r>
            <w:r>
              <w:rPr>
                <w:rFonts w:hint="default" w:ascii="Arial" w:hAnsi="Arial" w:eastAsia="Calibri" w:cs="Arial"/>
                <w:color w:val="auto"/>
                <w:highlight w:val="none"/>
              </w:rPr>
              <w:t xml:space="preserve">3 </w:t>
            </w:r>
            <w:r>
              <w:rPr>
                <w:rFonts w:hint="default" w:ascii="Arial" w:hAnsi="Arial" w:cs="Arial"/>
                <w:color w:val="auto"/>
                <w:highlight w:val="none"/>
              </w:rPr>
              <w:t>小时内到达采购人指定现场处理问题。</w:t>
            </w:r>
          </w:p>
        </w:tc>
      </w:tr>
    </w:tbl>
    <w:p>
      <w:pPr>
        <w:pStyle w:val="2"/>
        <w:jc w:val="both"/>
        <w:rPr>
          <w:rFonts w:ascii="Arial" w:hAnsi="Arial" w:eastAsia="宋体" w:cs="Arial"/>
          <w:color w:val="auto"/>
          <w:szCs w:val="32"/>
          <w:highlight w:val="none"/>
        </w:rPr>
        <w:sectPr>
          <w:headerReference r:id="rId10" w:type="first"/>
          <w:headerReference r:id="rId9" w:type="default"/>
          <w:pgSz w:w="11906" w:h="16838"/>
          <w:pgMar w:top="1134" w:right="1134" w:bottom="1134" w:left="1134" w:header="680" w:footer="907" w:gutter="0"/>
          <w:cols w:space="720" w:num="1"/>
          <w:titlePg/>
          <w:docGrid w:linePitch="271" w:charSpace="0"/>
        </w:sectPr>
      </w:pPr>
    </w:p>
    <w:p>
      <w:pPr>
        <w:pStyle w:val="19"/>
        <w:rPr>
          <w:rFonts w:hint="default" w:eastAsia="宋体"/>
          <w:color w:val="auto"/>
          <w:lang w:val="en-US" w:eastAsia="zh-CN"/>
        </w:rPr>
      </w:pPr>
    </w:p>
    <w:p>
      <w:pPr>
        <w:pStyle w:val="2"/>
        <w:jc w:val="left"/>
        <w:rPr>
          <w:rFonts w:hint="eastAsia" w:ascii="Arial" w:hAnsi="Arial" w:eastAsia="宋体" w:cs="Arial"/>
          <w:bCs w:val="0"/>
          <w:color w:val="auto"/>
          <w:sz w:val="24"/>
          <w:szCs w:val="36"/>
          <w:highlight w:val="none"/>
          <w:lang w:eastAsia="zh-CN"/>
        </w:rPr>
      </w:pPr>
      <w:r>
        <w:rPr>
          <w:rFonts w:hint="eastAsia" w:ascii="Arial" w:hAnsi="Arial" w:eastAsia="宋体" w:cs="Arial"/>
          <w:bCs w:val="0"/>
          <w:color w:val="auto"/>
          <w:sz w:val="24"/>
          <w:szCs w:val="36"/>
          <w:highlight w:val="none"/>
          <w:lang w:val="en-US" w:eastAsia="zh-CN"/>
        </w:rPr>
        <w:t>注：</w:t>
      </w:r>
      <w:r>
        <w:rPr>
          <w:rFonts w:hint="eastAsia" w:ascii="Arial" w:hAnsi="Arial" w:eastAsia="宋体" w:cs="Arial"/>
          <w:bCs w:val="0"/>
          <w:color w:val="auto"/>
          <w:sz w:val="24"/>
          <w:szCs w:val="36"/>
          <w:highlight w:val="none"/>
        </w:rPr>
        <w:t>如由</w:t>
      </w:r>
      <w:r>
        <w:rPr>
          <w:rFonts w:hint="eastAsia" w:ascii="Arial" w:hAnsi="Arial" w:eastAsia="宋体" w:cs="Arial"/>
          <w:bCs w:val="0"/>
          <w:color w:val="auto"/>
          <w:sz w:val="24"/>
          <w:szCs w:val="36"/>
          <w:highlight w:val="none"/>
          <w:lang w:val="en-US" w:eastAsia="zh-CN"/>
        </w:rPr>
        <w:t>本项目</w:t>
      </w:r>
      <w:r>
        <w:rPr>
          <w:rFonts w:hint="eastAsia" w:ascii="Arial" w:hAnsi="Arial" w:eastAsia="宋体" w:cs="Arial"/>
          <w:bCs w:val="0"/>
          <w:color w:val="auto"/>
          <w:sz w:val="24"/>
          <w:szCs w:val="36"/>
          <w:highlight w:val="none"/>
        </w:rPr>
        <w:t>成交供应商提供中药饮片</w:t>
      </w:r>
      <w:r>
        <w:rPr>
          <w:rFonts w:hint="eastAsia" w:ascii="Arial" w:hAnsi="Arial" w:eastAsia="宋体" w:cs="Arial"/>
          <w:bCs w:val="0"/>
          <w:color w:val="auto"/>
          <w:sz w:val="24"/>
          <w:szCs w:val="36"/>
          <w:highlight w:val="none"/>
          <w:lang w:eastAsia="zh-CN"/>
        </w:rPr>
        <w:t>，</w:t>
      </w:r>
      <w:r>
        <w:rPr>
          <w:rFonts w:hint="eastAsia" w:ascii="Arial" w:hAnsi="Arial" w:eastAsia="宋体" w:cs="Arial"/>
          <w:bCs w:val="0"/>
          <w:color w:val="auto"/>
          <w:sz w:val="24"/>
          <w:szCs w:val="36"/>
          <w:highlight w:val="none"/>
        </w:rPr>
        <w:t>成交供应商所提供的</w:t>
      </w:r>
      <w:r>
        <w:rPr>
          <w:rFonts w:hint="eastAsia" w:ascii="Arial" w:hAnsi="Arial" w:eastAsia="宋体" w:cs="Arial"/>
          <w:bCs w:val="0"/>
          <w:color w:val="auto"/>
          <w:sz w:val="24"/>
          <w:szCs w:val="36"/>
          <w:highlight w:val="none"/>
          <w:lang w:val="en-US" w:eastAsia="zh-CN"/>
        </w:rPr>
        <w:t>中药饮片</w:t>
      </w:r>
      <w:r>
        <w:rPr>
          <w:rFonts w:hint="eastAsia" w:ascii="Arial" w:hAnsi="Arial" w:eastAsia="宋体" w:cs="Arial"/>
          <w:bCs w:val="0"/>
          <w:color w:val="auto"/>
          <w:sz w:val="24"/>
          <w:szCs w:val="36"/>
          <w:highlight w:val="none"/>
        </w:rPr>
        <w:t>须满足以下要求</w:t>
      </w:r>
      <w:r>
        <w:rPr>
          <w:rFonts w:hint="eastAsia" w:ascii="Arial" w:hAnsi="Arial" w:eastAsia="宋体" w:cs="Arial"/>
          <w:bCs w:val="0"/>
          <w:color w:val="auto"/>
          <w:sz w:val="24"/>
          <w:szCs w:val="36"/>
          <w:highlight w:val="none"/>
          <w:lang w:eastAsia="zh-CN"/>
        </w:rPr>
        <w:t>：</w:t>
      </w:r>
    </w:p>
    <w:tbl>
      <w:tblPr>
        <w:tblStyle w:val="58"/>
        <w:tblW w:w="9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5"/>
        <w:gridCol w:w="85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8" w:hRule="atLeast"/>
          <w:jc w:val="center"/>
        </w:trPr>
        <w:tc>
          <w:tcPr>
            <w:tcW w:w="1275" w:type="dxa"/>
            <w:noWrap w:val="0"/>
            <w:vAlign w:val="center"/>
          </w:tcPr>
          <w:p>
            <w:pPr>
              <w:pStyle w:val="155"/>
              <w:keepNext w:val="0"/>
              <w:keepLines w:val="0"/>
              <w:suppressLineNumbers w:val="0"/>
              <w:snapToGrid w:val="0"/>
              <w:spacing w:before="0" w:beforeAutospacing="0" w:after="0" w:afterAutospacing="0" w:line="288" w:lineRule="auto"/>
              <w:ind w:right="78"/>
              <w:jc w:val="both"/>
              <w:rPr>
                <w:rFonts w:ascii="Arial" w:hAnsi="Arial" w:cs="Arial"/>
                <w:color w:val="auto"/>
                <w:szCs w:val="21"/>
                <w:highlight w:val="none"/>
              </w:rPr>
            </w:pPr>
            <w:r>
              <w:rPr>
                <w:rFonts w:hint="eastAsia" w:ascii="Arial" w:hAnsi="Arial" w:cs="Arial"/>
                <w:color w:val="auto"/>
                <w:szCs w:val="21"/>
                <w:highlight w:val="none"/>
                <w:lang w:eastAsia="zh-CN"/>
              </w:rPr>
              <w:t>中药饮片</w:t>
            </w:r>
            <w:r>
              <w:rPr>
                <w:rFonts w:ascii="Arial" w:hAnsi="Arial" w:cs="Arial"/>
                <w:color w:val="auto"/>
                <w:szCs w:val="21"/>
                <w:highlight w:val="none"/>
              </w:rPr>
              <w:t>质量要求</w:t>
            </w:r>
          </w:p>
        </w:tc>
        <w:tc>
          <w:tcPr>
            <w:tcW w:w="8562" w:type="dxa"/>
            <w:noWrap w:val="0"/>
            <w:vAlign w:val="top"/>
          </w:tcPr>
          <w:p>
            <w:pPr>
              <w:pStyle w:val="155"/>
              <w:keepNext w:val="0"/>
              <w:keepLines w:val="0"/>
              <w:numPr>
                <w:ilvl w:val="0"/>
                <w:numId w:val="4"/>
              </w:numPr>
              <w:suppressLineNumbers w:val="0"/>
              <w:tabs>
                <w:tab w:val="left" w:pos="326"/>
              </w:tabs>
              <w:snapToGrid w:val="0"/>
              <w:spacing w:before="0" w:beforeAutospacing="0" w:after="0" w:afterAutospacing="0" w:line="288" w:lineRule="auto"/>
              <w:ind w:left="0" w:leftChars="0" w:right="111" w:firstLine="0" w:firstLineChars="0"/>
              <w:jc w:val="left"/>
              <w:rPr>
                <w:rFonts w:ascii="Arial" w:hAnsi="Arial" w:cs="Arial"/>
                <w:color w:val="auto"/>
                <w:szCs w:val="21"/>
                <w:highlight w:val="none"/>
              </w:rPr>
            </w:pPr>
            <w:r>
              <w:rPr>
                <w:rFonts w:ascii="Arial" w:hAnsi="Arial" w:cs="Arial"/>
                <w:color w:val="auto"/>
                <w:spacing w:val="1"/>
                <w:szCs w:val="21"/>
                <w:highlight w:val="none"/>
              </w:rPr>
              <w:t>必须保证所提供的中药饮片为符合国家现行标准《中华人民共和国药典》，如无国</w:t>
            </w:r>
            <w:r>
              <w:rPr>
                <w:rFonts w:ascii="Arial" w:hAnsi="Arial" w:cs="Arial"/>
                <w:color w:val="auto"/>
                <w:spacing w:val="7"/>
                <w:szCs w:val="21"/>
                <w:highlight w:val="none"/>
              </w:rPr>
              <w:t>家标准，</w:t>
            </w:r>
            <w:r>
              <w:rPr>
                <w:rFonts w:ascii="Arial" w:hAnsi="Arial" w:cs="Arial"/>
                <w:b/>
                <w:color w:val="auto"/>
                <w:szCs w:val="21"/>
                <w:highlight w:val="none"/>
              </w:rPr>
              <w:t>则按照省级标准《省级中药饮片炮制规范》《广西中药饮片炮制规范》</w:t>
            </w:r>
            <w:r>
              <w:rPr>
                <w:rFonts w:ascii="Arial" w:hAnsi="Arial" w:cs="Arial"/>
                <w:color w:val="auto"/>
                <w:spacing w:val="7"/>
                <w:szCs w:val="21"/>
                <w:highlight w:val="none"/>
              </w:rPr>
              <w:t>。</w:t>
            </w:r>
          </w:p>
          <w:p>
            <w:pPr>
              <w:pStyle w:val="155"/>
              <w:keepNext w:val="0"/>
              <w:keepLines w:val="0"/>
              <w:numPr>
                <w:ilvl w:val="0"/>
                <w:numId w:val="4"/>
              </w:numPr>
              <w:suppressLineNumbers w:val="0"/>
              <w:tabs>
                <w:tab w:val="left" w:pos="326"/>
              </w:tabs>
              <w:snapToGrid w:val="0"/>
              <w:spacing w:before="0" w:beforeAutospacing="0" w:after="0" w:afterAutospacing="0" w:line="288" w:lineRule="auto"/>
              <w:ind w:left="0" w:leftChars="0" w:right="215" w:firstLine="0" w:firstLineChars="0"/>
              <w:jc w:val="left"/>
              <w:rPr>
                <w:rFonts w:ascii="Arial" w:hAnsi="Arial" w:cs="Arial"/>
                <w:color w:val="auto"/>
                <w:szCs w:val="21"/>
                <w:highlight w:val="none"/>
              </w:rPr>
            </w:pPr>
            <w:r>
              <w:rPr>
                <w:rFonts w:ascii="Arial" w:hAnsi="Arial" w:cs="Arial"/>
                <w:color w:val="auto"/>
                <w:spacing w:val="5"/>
                <w:szCs w:val="21"/>
                <w:highlight w:val="none"/>
              </w:rPr>
              <w:t>供应商在服务期限内保证药品质量、执行国家物价，按约定的药品品种、剂型、规格、数量、价格、供货方式等供货，并结合医院实际使用情况及时补货，保证临</w:t>
            </w:r>
            <w:r>
              <w:rPr>
                <w:rFonts w:ascii="Arial" w:hAnsi="Arial" w:cs="Arial"/>
                <w:color w:val="auto"/>
                <w:spacing w:val="6"/>
                <w:szCs w:val="21"/>
                <w:highlight w:val="none"/>
              </w:rPr>
              <w:t>床用药不断档。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5" w:type="dxa"/>
            <w:noWrap w:val="0"/>
            <w:vAlign w:val="center"/>
          </w:tcPr>
          <w:p>
            <w:pPr>
              <w:pStyle w:val="155"/>
              <w:keepNext w:val="0"/>
              <w:keepLines w:val="0"/>
              <w:suppressLineNumbers w:val="0"/>
              <w:snapToGrid w:val="0"/>
              <w:spacing w:before="0" w:beforeAutospacing="0" w:after="0" w:afterAutospacing="0" w:line="288" w:lineRule="auto"/>
              <w:ind w:left="193" w:right="78"/>
              <w:jc w:val="center"/>
              <w:rPr>
                <w:rFonts w:ascii="Arial" w:hAnsi="Arial" w:cs="Arial"/>
                <w:color w:val="auto"/>
                <w:szCs w:val="21"/>
                <w:highlight w:val="none"/>
              </w:rPr>
            </w:pPr>
            <w:r>
              <w:rPr>
                <w:rFonts w:hint="eastAsia" w:ascii="Arial" w:hAnsi="Arial" w:cs="Arial"/>
                <w:color w:val="auto"/>
                <w:szCs w:val="21"/>
                <w:highlight w:val="none"/>
                <w:lang w:eastAsia="zh-CN"/>
              </w:rPr>
              <w:t>中药饮片</w:t>
            </w:r>
            <w:r>
              <w:rPr>
                <w:rFonts w:ascii="Arial" w:hAnsi="Arial" w:cs="Arial"/>
                <w:color w:val="auto"/>
                <w:szCs w:val="21"/>
                <w:highlight w:val="none"/>
              </w:rPr>
              <w:t>报价要求</w:t>
            </w:r>
          </w:p>
        </w:tc>
        <w:tc>
          <w:tcPr>
            <w:tcW w:w="8562" w:type="dxa"/>
            <w:noWrap w:val="0"/>
            <w:vAlign w:val="top"/>
          </w:tcPr>
          <w:p>
            <w:pPr>
              <w:pStyle w:val="155"/>
              <w:keepNext w:val="0"/>
              <w:keepLines w:val="0"/>
              <w:suppressLineNumbers w:val="0"/>
              <w:tabs>
                <w:tab w:val="left" w:pos="326"/>
              </w:tabs>
              <w:snapToGrid w:val="0"/>
              <w:spacing w:before="0" w:beforeAutospacing="0" w:after="0" w:afterAutospacing="0" w:line="288" w:lineRule="auto"/>
              <w:ind w:left="107" w:right="0"/>
              <w:jc w:val="left"/>
              <w:rPr>
                <w:rFonts w:ascii="Arial" w:hAnsi="Arial" w:cs="Arial"/>
                <w:color w:val="auto"/>
                <w:szCs w:val="21"/>
                <w:highlight w:val="none"/>
              </w:rPr>
            </w:pPr>
            <w:r>
              <w:rPr>
                <w:rFonts w:ascii="Arial" w:hAnsi="Arial" w:cs="Arial"/>
                <w:color w:val="auto"/>
                <w:szCs w:val="21"/>
                <w:highlight w:val="none"/>
              </w:rPr>
              <w:t>1.</w:t>
            </w:r>
            <w:r>
              <w:rPr>
                <w:rFonts w:hint="eastAsia" w:ascii="Arial" w:hAnsi="Arial" w:cs="Arial"/>
                <w:color w:val="auto"/>
                <w:szCs w:val="21"/>
                <w:highlight w:val="none"/>
              </w:rPr>
              <w:t>响应报</w:t>
            </w:r>
            <w:r>
              <w:rPr>
                <w:rFonts w:ascii="Arial" w:hAnsi="Arial" w:cs="Arial"/>
                <w:bCs/>
                <w:color w:val="auto"/>
                <w:szCs w:val="21"/>
                <w:highlight w:val="none"/>
              </w:rPr>
              <w:t>价</w:t>
            </w:r>
            <w:r>
              <w:rPr>
                <w:rFonts w:ascii="Arial" w:hAnsi="Arial" w:cs="Arial"/>
                <w:bCs/>
                <w:color w:val="auto"/>
                <w:szCs w:val="21"/>
                <w:highlight w:val="none"/>
                <w:shd w:val="clear" w:color="auto" w:fill="auto"/>
              </w:rPr>
              <w:t>（应为折算成附表提供的价格折合饮片供货价(元/</w:t>
            </w:r>
            <w:r>
              <w:rPr>
                <w:rFonts w:hint="eastAsia" w:ascii="Arial" w:hAnsi="Arial" w:cs="Arial"/>
                <w:bCs/>
                <w:color w:val="auto"/>
                <w:szCs w:val="21"/>
                <w:highlight w:val="none"/>
                <w:shd w:val="clear" w:color="auto" w:fill="auto"/>
                <w:lang w:val="en-US" w:eastAsia="zh-CN"/>
              </w:rPr>
              <w:t>kg</w:t>
            </w:r>
            <w:r>
              <w:rPr>
                <w:rFonts w:ascii="Arial" w:hAnsi="Arial" w:cs="Arial"/>
                <w:bCs/>
                <w:color w:val="auto"/>
                <w:szCs w:val="21"/>
                <w:highlight w:val="none"/>
                <w:shd w:val="clear" w:color="auto" w:fill="auto"/>
              </w:rPr>
              <w:t>)）。</w:t>
            </w:r>
            <w:r>
              <w:rPr>
                <w:rFonts w:ascii="Arial" w:hAnsi="Arial" w:cs="Arial"/>
                <w:b/>
                <w:color w:val="auto"/>
                <w:szCs w:val="21"/>
                <w:highlight w:val="none"/>
              </w:rPr>
              <w:t>供应商响应报价单价不得超过各项单价控制价，否则视为无效</w:t>
            </w:r>
            <w:r>
              <w:rPr>
                <w:rFonts w:hint="eastAsia" w:ascii="Arial" w:hAnsi="Arial" w:cs="Arial"/>
                <w:b/>
                <w:color w:val="auto"/>
                <w:szCs w:val="21"/>
                <w:highlight w:val="none"/>
              </w:rPr>
              <w:t>响应</w:t>
            </w:r>
            <w:r>
              <w:rPr>
                <w:rFonts w:ascii="Arial" w:hAnsi="Arial" w:cs="Arial"/>
                <w:b/>
                <w:color w:val="auto"/>
                <w:szCs w:val="21"/>
                <w:highlight w:val="none"/>
              </w:rPr>
              <w:t>。评标价：以</w:t>
            </w:r>
            <w:r>
              <w:rPr>
                <w:rFonts w:hint="eastAsia" w:ascii="Arial" w:hAnsi="Arial" w:cs="Arial"/>
                <w:b/>
                <w:color w:val="auto"/>
                <w:szCs w:val="21"/>
                <w:highlight w:val="none"/>
              </w:rPr>
              <w:t>供应商</w:t>
            </w:r>
            <w:r>
              <w:rPr>
                <w:rFonts w:ascii="Arial" w:hAnsi="Arial" w:cs="Arial"/>
                <w:b/>
                <w:color w:val="auto"/>
                <w:szCs w:val="21"/>
                <w:highlight w:val="none"/>
              </w:rPr>
              <w:t>报价单价合计值作为评标价。</w:t>
            </w:r>
            <w:r>
              <w:rPr>
                <w:rFonts w:hint="eastAsia" w:ascii="Arial" w:hAnsi="Arial" w:cs="Arial"/>
                <w:color w:val="auto"/>
                <w:spacing w:val="5"/>
                <w:szCs w:val="21"/>
                <w:highlight w:val="none"/>
              </w:rPr>
              <w:t>响应</w:t>
            </w:r>
            <w:r>
              <w:rPr>
                <w:rFonts w:ascii="Arial" w:hAnsi="Arial" w:cs="Arial"/>
                <w:color w:val="auto"/>
                <w:szCs w:val="21"/>
                <w:highlight w:val="none"/>
              </w:rPr>
              <w:t>文件只允许有一个报价方案，否则，其</w:t>
            </w:r>
            <w:r>
              <w:rPr>
                <w:rFonts w:hint="eastAsia" w:ascii="Arial" w:hAnsi="Arial" w:cs="Arial"/>
                <w:color w:val="auto"/>
                <w:spacing w:val="5"/>
                <w:szCs w:val="21"/>
                <w:highlight w:val="none"/>
              </w:rPr>
              <w:t>响应</w:t>
            </w:r>
            <w:r>
              <w:rPr>
                <w:rFonts w:ascii="Arial" w:hAnsi="Arial" w:cs="Arial"/>
                <w:color w:val="auto"/>
                <w:szCs w:val="21"/>
                <w:highlight w:val="none"/>
              </w:rPr>
              <w:t>将被否决，有选择的或有条件的报价将不予接受。</w:t>
            </w:r>
          </w:p>
          <w:p>
            <w:pPr>
              <w:pStyle w:val="155"/>
              <w:keepNext w:val="0"/>
              <w:keepLines w:val="0"/>
              <w:suppressLineNumbers w:val="0"/>
              <w:tabs>
                <w:tab w:val="left" w:pos="326"/>
              </w:tabs>
              <w:snapToGrid w:val="0"/>
              <w:spacing w:before="0" w:beforeAutospacing="0" w:after="0" w:afterAutospacing="0" w:line="288" w:lineRule="auto"/>
              <w:ind w:left="107" w:right="0"/>
              <w:jc w:val="left"/>
              <w:rPr>
                <w:rFonts w:ascii="Arial" w:hAnsi="Arial" w:cs="Arial"/>
                <w:color w:val="auto"/>
                <w:szCs w:val="21"/>
                <w:highlight w:val="none"/>
              </w:rPr>
            </w:pPr>
            <w:r>
              <w:rPr>
                <w:rFonts w:ascii="Arial" w:hAnsi="Arial" w:cs="Arial"/>
                <w:color w:val="auto"/>
                <w:szCs w:val="21"/>
                <w:highlight w:val="none"/>
              </w:rPr>
              <w:t>2.</w:t>
            </w:r>
            <w:r>
              <w:rPr>
                <w:rFonts w:hint="eastAsia" w:ascii="Arial" w:hAnsi="Arial" w:cs="Arial"/>
                <w:color w:val="auto"/>
                <w:spacing w:val="5"/>
                <w:szCs w:val="21"/>
                <w:highlight w:val="none"/>
              </w:rPr>
              <w:t>响应</w:t>
            </w:r>
            <w:r>
              <w:rPr>
                <w:rFonts w:ascii="Arial" w:hAnsi="Arial" w:cs="Arial"/>
                <w:color w:val="auto"/>
                <w:szCs w:val="21"/>
                <w:highlight w:val="none"/>
              </w:rPr>
              <w:t>报价应综合考虑采购范围内的中药饮片供应价款、包装、运输、装卸、送货到位、检验、保险、税金、利润、项目实施、所承诺的服务、项目相关风险以及其它所有成本费用。对于本文件中未列明，而供应商认为必需的费用也应考虑进报价。在合同实施时，</w:t>
            </w:r>
            <w:r>
              <w:rPr>
                <w:rFonts w:hint="eastAsia" w:ascii="Arial" w:hAnsi="Arial" w:cs="Arial"/>
                <w:color w:val="auto"/>
                <w:szCs w:val="21"/>
                <w:highlight w:val="none"/>
              </w:rPr>
              <w:t>采购人</w:t>
            </w:r>
            <w:r>
              <w:rPr>
                <w:rFonts w:ascii="Arial" w:hAnsi="Arial" w:cs="Arial"/>
                <w:color w:val="auto"/>
                <w:szCs w:val="21"/>
                <w:highlight w:val="none"/>
              </w:rPr>
              <w:t>将不予另行支付成交供应商提出的其他任何费用，并认为此项目的费用已包括在报价中。</w:t>
            </w:r>
          </w:p>
          <w:p>
            <w:pPr>
              <w:pStyle w:val="155"/>
              <w:keepNext w:val="0"/>
              <w:keepLines w:val="0"/>
              <w:suppressLineNumbers w:val="0"/>
              <w:tabs>
                <w:tab w:val="left" w:pos="326"/>
              </w:tabs>
              <w:snapToGrid w:val="0"/>
              <w:spacing w:before="0" w:beforeAutospacing="0" w:after="0" w:afterAutospacing="0" w:line="288" w:lineRule="auto"/>
              <w:ind w:left="107" w:right="0"/>
              <w:jc w:val="left"/>
              <w:rPr>
                <w:rFonts w:ascii="Arial" w:hAnsi="Arial" w:cs="Arial"/>
                <w:color w:val="auto"/>
                <w:szCs w:val="21"/>
                <w:highlight w:val="none"/>
              </w:rPr>
            </w:pPr>
            <w:r>
              <w:rPr>
                <w:rFonts w:ascii="Arial" w:hAnsi="Arial" w:cs="Arial"/>
                <w:color w:val="auto"/>
                <w:szCs w:val="21"/>
                <w:highlight w:val="none"/>
              </w:rPr>
              <w:t>3.</w:t>
            </w:r>
            <w:r>
              <w:rPr>
                <w:rFonts w:hint="eastAsia" w:ascii="Arial" w:hAnsi="Arial" w:cs="Arial"/>
                <w:color w:val="auto"/>
                <w:szCs w:val="21"/>
                <w:highlight w:val="none"/>
              </w:rPr>
              <w:t>供应商</w:t>
            </w:r>
            <w:r>
              <w:rPr>
                <w:rFonts w:ascii="Arial" w:hAnsi="Arial" w:cs="Arial"/>
                <w:color w:val="auto"/>
                <w:szCs w:val="21"/>
                <w:highlight w:val="none"/>
              </w:rPr>
              <w:t>的报价应结合市场价格、成本及自身条件、市场风险等因素，成交供应商应承担由此带来的相应风险。</w:t>
            </w:r>
          </w:p>
          <w:p>
            <w:pPr>
              <w:pStyle w:val="155"/>
              <w:keepNext w:val="0"/>
              <w:keepLines w:val="0"/>
              <w:suppressLineNumbers w:val="0"/>
              <w:tabs>
                <w:tab w:val="left" w:pos="326"/>
              </w:tabs>
              <w:snapToGrid w:val="0"/>
              <w:spacing w:before="0" w:beforeAutospacing="0" w:after="0" w:afterAutospacing="0" w:line="288" w:lineRule="auto"/>
              <w:ind w:left="107" w:right="0"/>
              <w:jc w:val="left"/>
              <w:rPr>
                <w:rFonts w:ascii="Arial" w:hAnsi="Arial" w:cs="Arial"/>
                <w:color w:val="auto"/>
                <w:szCs w:val="21"/>
                <w:highlight w:val="none"/>
              </w:rPr>
            </w:pPr>
            <w:r>
              <w:rPr>
                <w:rFonts w:ascii="Arial" w:hAnsi="Arial" w:cs="Arial"/>
                <w:color w:val="auto"/>
                <w:szCs w:val="21"/>
                <w:highlight w:val="none"/>
                <w:shd w:val="clear" w:color="auto" w:fill="auto"/>
              </w:rPr>
              <w:t>4.如采购目录中品种进入集采，则按集采价格和政策执行。</w:t>
            </w:r>
          </w:p>
        </w:tc>
      </w:tr>
    </w:tbl>
    <w:p>
      <w:pPr>
        <w:pStyle w:val="2"/>
        <w:jc w:val="both"/>
        <w:rPr>
          <w:rFonts w:ascii="Arial" w:hAnsi="Arial" w:eastAsia="宋体" w:cs="Arial"/>
          <w:bCs w:val="0"/>
          <w:color w:val="auto"/>
          <w:highlight w:val="none"/>
        </w:rPr>
      </w:pPr>
      <w:r>
        <w:rPr>
          <w:rFonts w:ascii="Arial" w:hAnsi="Arial" w:eastAsia="宋体" w:cs="Arial"/>
          <w:bCs w:val="0"/>
          <w:color w:val="auto"/>
          <w:highlight w:val="none"/>
        </w:rPr>
        <w:br w:type="page"/>
      </w:r>
    </w:p>
    <w:tbl>
      <w:tblPr>
        <w:tblStyle w:val="58"/>
        <w:tblW w:w="0" w:type="auto"/>
        <w:jc w:val="center"/>
        <w:tblLayout w:type="autofit"/>
        <w:tblCellMar>
          <w:top w:w="0" w:type="dxa"/>
          <w:left w:w="108" w:type="dxa"/>
          <w:bottom w:w="0" w:type="dxa"/>
          <w:right w:w="108" w:type="dxa"/>
        </w:tblCellMar>
      </w:tblPr>
      <w:tblGrid>
        <w:gridCol w:w="636"/>
        <w:gridCol w:w="1544"/>
        <w:gridCol w:w="6136"/>
        <w:gridCol w:w="1538"/>
      </w:tblGrid>
      <w:tr>
        <w:tblPrEx>
          <w:tblCellMar>
            <w:top w:w="0" w:type="dxa"/>
            <w:left w:w="108" w:type="dxa"/>
            <w:bottom w:w="0" w:type="dxa"/>
            <w:right w:w="108" w:type="dxa"/>
          </w:tblCellMar>
        </w:tblPrEx>
        <w:trPr>
          <w:trHeight w:val="90" w:hRule="atLeast"/>
          <w:jc w:val="center"/>
        </w:trPr>
        <w:tc>
          <w:tcPr>
            <w:tcW w:w="9854" w:type="dxa"/>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b/>
                <w:bCs/>
                <w:color w:val="auto"/>
                <w:szCs w:val="21"/>
                <w:highlight w:val="none"/>
              </w:rPr>
            </w:pPr>
            <w:r>
              <w:rPr>
                <w:rFonts w:ascii="Arial" w:hAnsi="Arial" w:eastAsia="宋体" w:cs="Arial"/>
                <w:b/>
                <w:bCs/>
                <w:color w:val="auto"/>
                <w:kern w:val="0"/>
                <w:szCs w:val="21"/>
                <w:highlight w:val="none"/>
                <w:lang w:bidi="ar"/>
              </w:rPr>
              <w:t>附表1《中药饮片定点供应清单》</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序号</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药品名称</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主要货物要求</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采购控制单价（元/kg）</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阿胶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东阿阿胶，按批准文号管理，需国药准字包装，提供资质批件。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4600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阿胶珠</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7333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艾叶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选货；手工去枝梗，过4毫米筛去灰屑。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白矾</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块状，符合药典。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白花蛇舌草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统货；墨绿色，除去杂质和碎渣，短段5-10mm。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白及</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统货；不规则薄片1-2mm，直径1.0cm以上，过10毫米筛去碎片及碎渣。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白芥子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统货；直径1～2.5mm。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白茅根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统货，短段5mm～10mm，直径0.2-0.4cm，除去碎屑。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统货；长段10-15mm，直径1.0-4mm，过3毫米筛去碎渣，以根茎为主，须根不得超过20%。</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白头翁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统货；直径0.5～2cm，筛去碎屑。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统货；长1.5-3-5cm，直径0.5-1-2cm。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白鲜皮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选货；厚片2-4mm，直径1-2cm，厚0.2-0.5cm，过6毫米筛去小片及碎渣。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百部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统货；厚片2-4mm，直径0.7-1cm，过6毫米筛去碎渣，片型较均匀。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柏子仁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统货；长4～7mm，直径1.5～3mm。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败酱草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符合国家标准或广西地方标准。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板蓝根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统货；厚片2-4mm，直径0.6-1cm，筛去碎渣，片厚度均匀。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半枝莲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统货；长段10-15mm，除去杂质，筛去碎渣。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薄荷</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选货，直径0.2-0.4cm，过4毫米筛去碎渣，叶占比40%以上，叶深绿色，颜色一致，段均匀。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北柴胡</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选货；厚片2-4mm，直径0.4-0.8cm，过4毫米筛去碎渣。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北沙参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选货；短段5-10mm，直径0.6-1.2cm，过6毫米筛去碎渣。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萹蓄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醋鳖甲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统货；除去杂质，无鳖肉残留。</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槟榔</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统货；切薄片，直径1.5～3cm。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冰片（合成龙脑）</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补骨脂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统货；长3～5mm， 宽2～4mm，厚约1.5mm，除去杂质。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苍耳子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统货；长1～1.5cm，直径0.4～0.7cm。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苍术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统货；厚片2～4mm，直径1.2-4cm，过8毫米筛去碎渣，片型、色泽均匀。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侧柏炭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侧柏叶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统货；除去枝梗和杂质。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蝉蜕</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选货；水洗，长约3.5cm，宽约2cm，无杂质。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炒白扁豆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统货；具焦斑，长8～13mm，宽6～9mm，厚约7mm ，瘪子率5%以下，无杂质。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炒鸡内金</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统货；厚约2mm，除去杂质。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21.9</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炒蒺藜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炒紫苏子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统货；直径约1.5mm。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车前草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车前子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沉香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赤芍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选货；厚片2-4mm，直径0.6～3cm，过8毫米筛去碎渣，片型厚度均匀。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赤小豆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统货；长5～8mm，直径3～5mm，大小均匀。过3毫米筛去碎渣。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川贝母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5928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川楝子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统货；直径2～3.2cm，厚片2～4mm。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穿破石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磁石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统货；除去杂质，砸碎。</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醋甘遂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醋三棱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统货；薄片1-2mm，直径2.5～4cm，最窄平均直径2.5cm，过16毫米筛去碎渣及小片，片型较均匀。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醋延胡索</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统货；厚片2～4mm，直径0.5-1.5cm，过6毫米筛去碎渣，杂质不得过2%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大腹皮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 ，厚0.2-0.5cm，过10毫米筛去碎渣，杂质不得过2%。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统货；厚片2～4mm，直径4-10cm，无糠黄，片型较均匀，过20毫米筛去碎渣，杂质不得过2%。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大蓟</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大青叶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统货；碎段，过4毫米筛去碎渣，杂质不得过2%。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大血藤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大枣</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统货；长2-3.5cm, 直径1.5-2.5cm。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代赭石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胆南星</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统货；小方块，过8毫米筛去碎渣。按批准文号管理，需国药准字包装，提供资质批件。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淡竹叶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灯心草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地耳草（田基黄）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地肤子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统货；直径1-3mm，过1毫米筛去碎渣，杂质不得过2%。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地骨皮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统货；筒状或槽状，过6毫米筛去碎渣，不得有木心，杂质不得过2%。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全开，长段10-15mm  宽0.8-2cm，过6毫米筛去碎渣，不得有泥土。</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统货；厚片2～4mm，直径0.7-2cm，过14毫米筛去碎渣。片型均匀，杂质不得过2%。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地榆炭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丁香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长1.2〜2cm，直径0.3-0.5cm，过4毫米筛去碎渣及不饱满者，杂质不得过2％。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冬瓜子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冬葵子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豆蔻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直径1.3-1.8cm，过12毫米筛去碎渣，果实饱满，大小均匀。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独活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统货；薄片1～2mm，直径1.6-3cm，过18毫米筛去小片及碎渣，无须根和杂质。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煅寒水石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煅龙骨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煅牡蛎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统货；碎块或粗粉。</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煅阳起石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莪术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统货；厚片2-4mm，直径2～4cm，过6毫米筛去碎渣，片型较均匀。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鹅不食草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法半夏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统货；类球型，直径0.7～1.6cm，断面黄色。</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番泻叶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防风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选货；厚片2～4mm，直径0.6-2cm，过6毫米筛去碎渣，片型均匀。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防己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统货；厚片2～4mm，直径1.2-5cm，过12毫米筛去碎渣，片型均匀。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粉萆薢</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统货；斜切片，厚2～5mm，过6毫米筛去碎渣。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79</w:t>
            </w:r>
          </w:p>
        </w:tc>
        <w:tc>
          <w:tcPr>
            <w:tcW w:w="15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粉葛</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统货；边长为0.5～1.2cm的方块。</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佛手</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统货；薄片，长6-10cm，宽3-7cm，厚0.2-0.4cm，过12毫米筛去碎渣，片型均匀。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麸炒白术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统货；厚片2～4mm，直径1.8-7cm，过18毫米筛去碎渣，片型、色泽均匀。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茯苓皮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茯神</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浮海石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浮小麦</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附片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黑顺片，外皮黑褐色，切面暗黄色，油润具光泽半透明状。质硬而脆，断面角质样。气微，味淡。</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覆盆子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统货；高0.6-1.3cm，直径0.5-1.2cm，过6毫米筛去碎渣。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甘草片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统货；厚片2～4mm，直径0.6-3.5cm，过6毫米筛去碎渣，片型均匀。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干姜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统货；厚片，长1-6cm，宽1-2cm，厚0.2-0.4cm，过10毫米筛去碎渣，片型均匀。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干石斛</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  直径0.4-1.2cm，过4毫米筛去碎渣。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干益母草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干鱼腥草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长段10-15mm，过4毫米筛去碎渣，杂质不得过2%。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高良姜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藁本片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 1.0cm 以上片占比不低于 90%，0.2cm 以下碎末灰渣不超过 0.5%。</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葛根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野葛，统货；符合药典标准。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功劳木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钩藤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  直径0.2-0.5cm，过2毫米筛去碎渣。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狗脊</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统货；长块状，长10～30cm，直径2～10cm。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枸杞子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统货；长8-20mm，直径4-10mm，每50克280粒以内。</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骨碎补</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瓜蒌皮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统货；宽丝5～10mm，过4号筛。</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瓜蒌子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统货；双边，长12～15mm，宽6～10mm，厚度约3.5mm。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龟板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统货；除去杂质，无龟肉残留。</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海蛤壳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海金沙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海螵蛸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统货；小块，长9-23cm，宽2.5-6.5cm，厚约1.3cm，过10毫米筛去碎渣。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海桐皮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海藻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诃子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红参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522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红参片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厚朴</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统货；宽丝5-10mm，厚0.2～0.7cm，过8毫米筛去碎渣。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胡黄连</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虎杖</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统货；长1～7cm，直径0.5～2.5cm，过14毫米筛去碎渣。片厚度均匀2〜4mm（±0.2）。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琥珀</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花椒</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滑石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统货；碎块。</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滑石粉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统货；粉末。按批准文号管理，需国药准字包装，提供资质批件。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槐米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统货；除去枝梗和杂质。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黄柏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统货；宽丝5-10mm，厚1～6mm，过6毫米筛去碎渣。除净粗皮。</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黄精</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统货；厚片2-4mm，过10毫米筛去碎渣。有酒香气。</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黄连片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统货；薄片1-2mm，直径0.4～1cm，过6毫米筛去碎渣。片厚度均匀2〜4mm（±0.2）。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黄芩片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统货；薄片1-2mm，直径1～3cm，过8毫米筛去小片及碎渣。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火麻仁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统货；长4～5.5mm，直径2.5～4mm。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藿香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 茎直径0.3-1.2cm 叶不得少于20%，过3毫米筛去碎渣。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鸡骨草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鸡血藤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建曲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统货；块状，符合国家标准或者广西地方标准。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姜半夏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统货；薄片1-2mm，过6mm筛去碎渣。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姜黄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统货；厚片2-4mm，直径1～3cm，筛去碎片及碎渣。片厚度均匀。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姜皮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僵蚕</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统货；长2～5cm，直径0.5～0.7cm。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焦山楂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焦栀子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绞股蓝</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金钱草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 ，含叶的重量不少于50%。</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金樱子肉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统货；长2～3.5cm，直径1～2cm，纵切2瓣，除去毛、核。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酒苁蓉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统货；切厚片，直径2～8cm。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菊花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选货；杭白菊，直径2.5～4cm，筛去细粉，脱落的花瓣，完整朵。</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橘红</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决明子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统货；粒径3.5～4.0mm。过3毫米筛去碎渣。颗粒饱满。</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枯矾</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苦参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统货；直径1.5～4.5cm，过1.5cm细筛去除粉尘以及1.5cm以下的小片，片形均匀。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苦杏仁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统货；长1～1.9cm，宽0.8～1.5cm，厚0.5～0.8cm。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款冬花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统货；长1～2.5cm，直径0.5～1cm。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昆布</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莱菔子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统货；长2.5～4mm，宽2-3mm，无杂质，粒度较均匀。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荔枝核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统货；长1.5-2.2cm,直径1-1.5cm。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连钱草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长段1-3cm ，宽1.5-3cm。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莲子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统货；略呈椭圆形或类球形， 长段1-1.8cm ，直径0.8-1.4cm。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两面针</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统货；长2-20cm,厚0.5-6cm。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灵芝</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北刘寄奴</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龙胆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统货；长段10～15mm，直径3～4mm，过6毫米筛去碎渣。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龙眼肉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统货；长约1.5cm，宽2-4cm,厚约0.1cm。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芦根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统货；长段10～15mm，直径1.3～1.7mm，直径1.5cm以上。过12毫米筛去碎渣。段型大小较均匀。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鹿角片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鹿茸片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路路通</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统货；直径2～3mm，长段2～4mm，过10毫米筛去碎渣。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麻黄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统货；长段10～15mm，直径1.5mm以上。过1毫米筛去碎渣。</w:t>
            </w:r>
            <w:r>
              <w:rPr>
                <w:rStyle w:val="177"/>
                <w:rFonts w:hint="default" w:ascii="Arial" w:hAnsi="Arial" w:cs="Arial"/>
                <w:color w:val="auto"/>
                <w:sz w:val="21"/>
                <w:szCs w:val="21"/>
                <w:highlight w:val="none"/>
                <w:lang w:bidi="ar"/>
              </w:rPr>
              <w:t>需提供麻黄经营资质。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麻黄根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统货；切厚片，直径0.5～1.5cm。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马勃</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统货；直径5-15cm。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蔓荆子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猫爪草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统货；长3～10mm，直径2～3mm。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没药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统货；天然没药，无杂质。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蜜款冬花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蜜麻黄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蜜枇杷叶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统货；切丝。</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蜜紫菀</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绵马贯众</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墨旱莲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木蝴蝶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统货；蝶形薄片，长5-8cm，宽3.5-4.5cm。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木通</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木香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统货；厚片2～4mm，直径1～4.5cm，过2毫米筛去碎渣。表面结脂部分不少于30%。</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木贼</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统货；长管状，长40-60cm,直径0.2-0.7cm。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南沙参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牛蒡子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统货；长5～7mm,宽2～3mm，无杂质，粒度较均匀。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女贞子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统货；肾型果，长6～8.5mm，直径0.4cm以上。</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藕节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统货；长2-4cm,直径约2cm。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胖大海</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炮姜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统货；过10毫米筛去碎渣。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佩兰</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统货；长段10～15mm，直径0.3～0.4cm，过3毫米筛去碎渣。除去杂质，段型均匀。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枇杷叶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统货；切丝。</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蒲黄炭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千斤拔</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千年健</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前胡</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统货；薄片1～2mm，直径1.2～1.8cm，过6毫米筛去碎渣，片厚度均匀。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芡实</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统货；直径5～8mm。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茜草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统货；长段10～15mm，直径0.4～0.8cm，直径0.5cm以上。筛去碎渣。粗细较均匀。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395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羌活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统货；厚片2～4mm，直径0.9～2.3cm，过10毫米筛去碎渣。片厚度均匀。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秦艽</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统货；厚片2～4mm，直径1.3～2.7cm，过6毫米筛去碎渣。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秦皮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统货；宽丝5～10mm，过6毫米筛去碎渣。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青黛</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按批准文号管理，需国药准字包装，并提供资质批件。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青风藤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青果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统货；切段，长0.5～1.5cm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统货；青皮，直径0.5～2cm，果皮厚0.1～0.2cm。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青葙子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统货；直径1-1.5mm。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瞿麦</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全蝎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统货；完整者体长约6cm，形体完整。</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忍冬藤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统货；直径1.5-6mm。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肉豆蔻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统货；长2.3～2.7cm，直径1.8～2.2cm，过12毫米筛去不饱满者及碎渣。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肉桂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统货；槽状或卷筒状，厚0.2～0.8cm。过10毫米筛去碎渣。片形大小较均匀。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乳香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统货；乳香珠，无杂质。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三七粉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桑白皮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统货；全刮皮，切丝5～10mm,过8毫米筛去碎渣。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桑寄生</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桑螵蛸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统货；长2～5cm，宽1.5～3cm。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统货，呈长圆形，长l～2cm.直径0.5～0.8cm,过6毫米筛去碎渣。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统货，搓碎，去柄,过3毫米筛去碎渣。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桑枝</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统货，厚片2～4mm，直径0.5～1.5cm，片厚度均匀。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沙苑子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砂仁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统货，呈椭圆形或卵圆形，长1.5～2cm，直径1～1.5cm,完整无破碎。过8毫米筛去不饱满者及碎渣。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388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山豆根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山银花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蛇床子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统货；呈椭圆形，长2～4mm，直径约2mm,筛去碎渣。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射干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统货；薄片1～2mm，直径1～2cm过8毫米筛去碎渣，片厚度均匀。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伸筋草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统货；切段10-15mm,筛去碎渣。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升麻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统货；厚片2～4mm，直径2～4cm,过18毫米筛去小片及碎渣。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生龙骨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生麦芽</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生牡蛎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生蒲黄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统货；呈粉末状。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生三七</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生石膏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统货；呈不规则碎块，多为粗粉状。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石菖蒲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统货，呈扁圆形或长条形的厚片2～4mm，直径0.6～1.2cm，过4毫米筛去碎渣，片厚度均匀。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石见穿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石决明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石榴皮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石韦</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首乌藤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统货；呈圆柱形的段10-15mm，直径4～7mm，过4毫米筛去碎渣。长短均匀，不规则段不超过3%。</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熟地黄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统货；切厚片2-4mm或块，不规则的块片，直径2cm以上，过16毫米筛去小片及碎渣。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水牛角</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水蛭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统货；切段，宽0.5～2cm。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丝瓜络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苏木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统货，劈成片，呈长片状，长约3cm，筛去碎渣。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39</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酸枣仁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统货；长5～9mm，宽5～7mm，厚约3mm，瘪子率10%以下，</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锁阳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桃仁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统货；长1～1.8cm，宽0.7～1.2cm，厚0.2～0.5cm。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天冬</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统货；薄片1-2mm，直径0.5～2cm,过6毫米筛去碎渣，片厚度均匀。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天麻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选货；薄片1-2mm，厚0.5～2cm,长径10cm以上。过14毫米筛去碎渣，片厚度均匀无边皮。</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甜叶菊</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葶苈子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通草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直径1.5-2.5cm，体轻，质松软，稍有弹性，切面平坦，呈银白色光泽。气微，味淡。</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土鳖虫</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统货；长1.3～3cm，宽1.2～ 2.4cm,过12毫米筛去碎渣。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土茯苓</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菟丝子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瓦楞子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王不留行</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统货；爆花率97%以上。</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威灵仙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统货；长段10～15mm，直径0.1-1.5cm,无根茎，根粗细均匀。过2毫米筛去碎渣。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乌梅</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统货；直径1.5-3cm,过18毫米筛去碎渣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乌梢蛇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乌药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统货；薄片1～2mm，直径1-3cm,过8毫米筛去小片及碎渣。片厚度均匀，不规则片不得过8%。</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吴茱萸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统货；直径2-5mm,过2毫米筛去碎渣。颜色较一致，果实大小较均匀。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蜈蚣</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统货；长15cm，宽0.5～1cm。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4300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五倍子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五加皮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五灵脂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五味子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统货；无果梗，直径5～8mm，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五指毛桃</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西洋参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526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西洋参片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豨莶草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细辛</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统货；长段10～15mm，直径0.1-0.4cm，过2毫米筛去碎渣。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仙茅</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直径0.8-1.2cm，外表皮棕色至褐色。切面灰白色至棕褐色。气微香，味微苦、辛。</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香附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统货；直径0.6～1cm，大小均匀，无碎粒。过4毫米筛去碎渣。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香薷</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 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小茴香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薤白</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统货；高0.5-3cm 直径0.5-1.8cm，无碎屑。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辛夷</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统货；长1.2-4cm 直径1-2cm，呈长卵形，过8毫米筛去碎渣，无碎屑。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新疆紫草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统货；体轻，质松软。</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绣花针</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徐长卿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统货；长0.5-16cm，直径1-4mm。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106</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续断片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统货；切厚片，直径0.5～2cm。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49.4</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玄明粉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旋覆花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直径1-2cm，无梗，无碎屑。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血竭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寻骨风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盐巴戟天</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选货；略呈肾型，5～10mm，直径0.6～2cm，厚约1.5mm，微鼓起，无药屑。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盐黄柏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盐橘核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野菊花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益智仁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统货；除去杂质及外壳，种子直径约3mm。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茵陈</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绵茵陈，统货；符合药典标准。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银柴胡</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淫羊藿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统货；切丝，除去枝梗。</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玉竹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统货；直径1.2～2.5cm，薄片1～2mm，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郁金</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统货；长3.5～7cm，直径1.2～2.5mm。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郁李仁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统货；长5-10mm，直径3-7mm。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远志</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统货；切段，直径0.2～1cm。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皂角刺</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泽兰</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统货；长段10～15mm，茎直径0.2～0.6cm。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泽漆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统货；茎长20-30cm。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浙贝母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统货；厚片2～4mm，无碎渣。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珍珠母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知母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统货；厚片2～4mm，直径0.9～1.5cm，过9毫米筛去碎渣。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栀子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统货；碎块，无杂质。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枳壳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统货；切薄片，中果皮厚0.4～1.3cm。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枳实</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统货；切薄片，中果皮0.3-1.2cm,直径0.5-2.5cm。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制白附子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制草乌</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统货；直径0.7～1.8cm，厚片2~4mm，过7毫米筛去碎渣。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制川乌</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统货；直径1.3～2.5cm，厚片2~4mm，过13毫米筛去碎渣。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制何首乌</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统货；块片，厚约1cm，无碎渣。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制马钱子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统货；直径1.5-3cm,符合现行《中华人民共和国药典》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制天南星</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95</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炙远志</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460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重楼</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850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猪苓</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统货；切厚片，直径2～6cm。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紫花地丁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统货；切碎，无粉屑。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紫石英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紫苏叶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统货；长段10～15mm或完整叶片，除去杂质、枝梗。</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38</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紫菀</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货；厚片2~4mm或短段5～10mm，短段直径大于0.1cm，筛去碎渣和杂质。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230</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自然铜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走马胎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145</w:t>
            </w:r>
          </w:p>
        </w:tc>
      </w:tr>
      <w:tr>
        <w:tblPrEx>
          <w:tblCellMar>
            <w:top w:w="0" w:type="dxa"/>
            <w:left w:w="108" w:type="dxa"/>
            <w:bottom w:w="0" w:type="dxa"/>
            <w:right w:w="108" w:type="dxa"/>
          </w:tblCellMar>
        </w:tblPrEx>
        <w:trPr>
          <w:jc w:val="center"/>
        </w:trPr>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b/>
                <w:bCs/>
                <w:color w:val="auto"/>
                <w:szCs w:val="21"/>
                <w:highlight w:val="none"/>
              </w:rPr>
            </w:pPr>
            <w:r>
              <w:rPr>
                <w:rFonts w:ascii="Arial" w:hAnsi="Arial" w:eastAsia="宋体" w:cs="Arial"/>
                <w:b/>
                <w:bCs/>
                <w:color w:val="auto"/>
                <w:kern w:val="0"/>
                <w:szCs w:val="21"/>
                <w:highlight w:val="none"/>
                <w:lang w:bidi="ar"/>
              </w:rPr>
              <w:t>合计金额</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hint="eastAsia" w:ascii="Arial" w:hAnsi="Arial" w:eastAsia="宋体" w:cs="Arial"/>
                <w:color w:val="auto"/>
                <w:sz w:val="21"/>
                <w:szCs w:val="21"/>
                <w:lang w:val="en-US" w:eastAsia="zh-CN"/>
              </w:rPr>
              <w:t>81645.8</w:t>
            </w:r>
          </w:p>
        </w:tc>
      </w:tr>
    </w:tbl>
    <w:p>
      <w:pPr>
        <w:pStyle w:val="2"/>
        <w:jc w:val="both"/>
        <w:rPr>
          <w:rFonts w:ascii="Arial" w:hAnsi="Arial" w:eastAsia="宋体" w:cs="Arial"/>
          <w:color w:val="auto"/>
          <w:szCs w:val="32"/>
          <w:highlight w:val="none"/>
        </w:rPr>
      </w:pPr>
      <w:r>
        <w:rPr>
          <w:rFonts w:ascii="Arial" w:hAnsi="Arial" w:eastAsia="宋体" w:cs="Arial"/>
          <w:bCs w:val="0"/>
          <w:color w:val="auto"/>
          <w:highlight w:val="none"/>
        </w:rPr>
        <w:br w:type="page"/>
      </w:r>
      <w:bookmarkStart w:id="11" w:name="_Toc23226"/>
      <w:r>
        <w:rPr>
          <w:rFonts w:hint="eastAsia" w:ascii="Arial" w:hAnsi="Arial" w:eastAsia="宋体" w:cs="Arial"/>
          <w:bCs w:val="0"/>
          <w:color w:val="auto"/>
          <w:highlight w:val="none"/>
          <w:lang w:val="en-US" w:eastAsia="zh-CN"/>
        </w:rPr>
        <w:t xml:space="preserve">                      </w:t>
      </w:r>
      <w:r>
        <w:rPr>
          <w:rFonts w:ascii="Arial" w:hAnsi="Arial" w:eastAsia="宋体" w:cs="Arial"/>
          <w:bCs w:val="0"/>
          <w:color w:val="auto"/>
          <w:highlight w:val="none"/>
        </w:rPr>
        <w:t>第三章 供应商须知</w:t>
      </w:r>
      <w:bookmarkEnd w:id="6"/>
      <w:bookmarkEnd w:id="11"/>
    </w:p>
    <w:p>
      <w:pPr>
        <w:snapToGrid w:val="0"/>
        <w:spacing w:before="120" w:beforeLines="50" w:after="120" w:afterLines="50"/>
        <w:ind w:left="238"/>
        <w:jc w:val="center"/>
        <w:outlineLvl w:val="1"/>
        <w:rPr>
          <w:rFonts w:ascii="Arial" w:hAnsi="Arial" w:cs="Arial"/>
          <w:color w:val="auto"/>
          <w:sz w:val="28"/>
          <w:szCs w:val="28"/>
          <w:highlight w:val="none"/>
        </w:rPr>
      </w:pPr>
      <w:bookmarkStart w:id="12" w:name="_Toc6511"/>
      <w:bookmarkStart w:id="13" w:name="_Toc2044"/>
      <w:bookmarkStart w:id="14" w:name="_Toc8282"/>
      <w:bookmarkStart w:id="15" w:name="_Toc26587"/>
      <w:bookmarkStart w:id="16" w:name="_Toc254970526"/>
      <w:bookmarkStart w:id="17" w:name="_Toc5204"/>
      <w:bookmarkStart w:id="18" w:name="_Toc254970667"/>
      <w:bookmarkStart w:id="19" w:name="_Toc9340"/>
      <w:bookmarkStart w:id="20" w:name="_Toc6675"/>
      <w:bookmarkStart w:id="21" w:name="_Toc25557"/>
      <w:bookmarkStart w:id="22" w:name="_Toc27924"/>
      <w:bookmarkStart w:id="23" w:name="_Toc16415"/>
      <w:r>
        <w:rPr>
          <w:rFonts w:ascii="Arial" w:hAnsi="Arial" w:cs="Arial"/>
          <w:color w:val="auto"/>
          <w:sz w:val="28"/>
          <w:szCs w:val="28"/>
          <w:highlight w:val="none"/>
        </w:rPr>
        <w:t>供应商须知前附表</w:t>
      </w:r>
      <w:bookmarkEnd w:id="12"/>
      <w:bookmarkEnd w:id="13"/>
      <w:bookmarkEnd w:id="14"/>
      <w:bookmarkEnd w:id="15"/>
      <w:bookmarkEnd w:id="16"/>
      <w:bookmarkEnd w:id="17"/>
      <w:bookmarkEnd w:id="18"/>
      <w:bookmarkEnd w:id="19"/>
      <w:bookmarkEnd w:id="20"/>
      <w:bookmarkEnd w:id="21"/>
      <w:bookmarkEnd w:id="22"/>
    </w:p>
    <w:tbl>
      <w:tblPr>
        <w:tblStyle w:val="58"/>
        <w:tblW w:w="0" w:type="auto"/>
        <w:tblInd w:w="-16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9"/>
        <w:gridCol w:w="867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序号</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1.1</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hint="eastAsia" w:ascii="Arial" w:hAnsi="Arial" w:eastAsia="宋体" w:cs="Arial"/>
                <w:color w:val="auto"/>
                <w:szCs w:val="21"/>
                <w:highlight w:val="none"/>
              </w:rPr>
            </w:pPr>
            <w:r>
              <w:rPr>
                <w:rFonts w:ascii="Arial" w:hAnsi="Arial" w:eastAsia="宋体" w:cs="Arial"/>
                <w:color w:val="auto"/>
                <w:szCs w:val="21"/>
                <w:highlight w:val="none"/>
              </w:rPr>
              <w:t>项目名称：</w:t>
            </w:r>
            <w:r>
              <w:rPr>
                <w:rFonts w:hint="eastAsia" w:ascii="Arial" w:hAnsi="Arial" w:eastAsia="宋体" w:cs="Arial"/>
                <w:color w:val="auto"/>
                <w:szCs w:val="21"/>
                <w:highlight w:val="none"/>
              </w:rPr>
              <w:t>灵川县中医医院中药饮片代煎服务</w:t>
            </w:r>
          </w:p>
          <w:p>
            <w:pPr>
              <w:keepNext w:val="0"/>
              <w:keepLines w:val="0"/>
              <w:suppressLineNumbers w:val="0"/>
              <w:snapToGrid w:val="0"/>
              <w:spacing w:before="0" w:beforeAutospacing="0" w:after="0" w:afterAutospacing="0" w:line="288" w:lineRule="auto"/>
              <w:ind w:left="0" w:right="0"/>
              <w:rPr>
                <w:rFonts w:hint="eastAsia" w:ascii="Arial" w:hAnsi="Arial" w:eastAsia="宋体" w:cs="Arial"/>
                <w:color w:val="auto"/>
                <w:szCs w:val="21"/>
                <w:highlight w:val="none"/>
              </w:rPr>
            </w:pPr>
            <w:r>
              <w:rPr>
                <w:rFonts w:ascii="Arial" w:hAnsi="Arial" w:eastAsia="宋体" w:cs="Arial"/>
                <w:color w:val="auto"/>
                <w:szCs w:val="21"/>
                <w:highlight w:val="none"/>
              </w:rPr>
              <w:t>项目编号：</w:t>
            </w:r>
            <w:r>
              <w:rPr>
                <w:rFonts w:hint="eastAsia" w:ascii="Arial" w:hAnsi="Arial" w:eastAsia="宋体" w:cs="Arial"/>
                <w:color w:val="auto"/>
                <w:szCs w:val="21"/>
                <w:highlight w:val="none"/>
              </w:rPr>
              <w:t xml:space="preserve">GXJD-25133CC030940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1.3</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hint="eastAsia" w:ascii="Arial" w:hAnsi="Arial" w:eastAsia="宋体" w:cs="Arial"/>
                <w:color w:val="auto"/>
                <w:szCs w:val="21"/>
                <w:highlight w:val="none"/>
              </w:rPr>
              <w:t>1、</w:t>
            </w:r>
            <w:r>
              <w:rPr>
                <w:rFonts w:ascii="Arial" w:hAnsi="Arial" w:eastAsia="宋体" w:cs="Arial"/>
                <w:color w:val="auto"/>
                <w:szCs w:val="21"/>
                <w:highlight w:val="none"/>
              </w:rPr>
              <w:t>供应商资格要求:</w:t>
            </w:r>
          </w:p>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t>1</w:t>
            </w:r>
            <w:r>
              <w:rPr>
                <w:rFonts w:hint="eastAsia" w:ascii="Arial" w:hAnsi="Arial" w:eastAsia="宋体" w:cs="Arial"/>
                <w:color w:val="auto"/>
                <w:szCs w:val="21"/>
                <w:highlight w:val="none"/>
              </w:rPr>
              <w:t>.1</w:t>
            </w:r>
            <w:r>
              <w:rPr>
                <w:rFonts w:ascii="Arial" w:hAnsi="Arial" w:eastAsia="宋体" w:cs="Arial"/>
                <w:color w:val="auto"/>
                <w:szCs w:val="21"/>
                <w:highlight w:val="none"/>
              </w:rPr>
              <w:t>、基本资格条件：供应商为在国内注册，生产或经营本次采购内容并具备独立企业法人资格的供应商。</w:t>
            </w:r>
          </w:p>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hint="eastAsia" w:ascii="Arial" w:hAnsi="Arial" w:eastAsia="宋体" w:cs="Arial"/>
                <w:color w:val="auto"/>
                <w:szCs w:val="21"/>
                <w:highlight w:val="none"/>
              </w:rPr>
              <w:t>1.</w:t>
            </w:r>
            <w:r>
              <w:rPr>
                <w:rFonts w:ascii="Arial" w:hAnsi="Arial" w:eastAsia="宋体" w:cs="Arial"/>
                <w:color w:val="auto"/>
                <w:szCs w:val="21"/>
                <w:highlight w:val="none"/>
              </w:rPr>
              <w:t>2、特定资格条件：</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color w:val="auto"/>
                <w:kern w:val="0"/>
                <w:szCs w:val="21"/>
                <w:highlight w:val="none"/>
              </w:rPr>
            </w:pPr>
            <w:r>
              <w:rPr>
                <w:rFonts w:hint="eastAsia" w:ascii="Arial" w:hAnsi="Arial" w:eastAsia="宋体" w:cs="Arial"/>
                <w:color w:val="auto"/>
                <w:kern w:val="0"/>
                <w:szCs w:val="21"/>
                <w:highlight w:val="none"/>
              </w:rPr>
              <w:t>（1）</w:t>
            </w:r>
            <w:r>
              <w:rPr>
                <w:rFonts w:ascii="Arial" w:hAnsi="Arial" w:eastAsia="宋体" w:cs="Arial"/>
                <w:color w:val="auto"/>
                <w:kern w:val="0"/>
                <w:szCs w:val="21"/>
                <w:highlight w:val="none"/>
              </w:rPr>
              <w:t>资质要求：</w:t>
            </w:r>
            <w:r>
              <w:rPr>
                <w:rFonts w:hint="eastAsia" w:ascii="Arial" w:hAnsi="Arial" w:eastAsia="宋体" w:cs="Arial"/>
                <w:color w:val="auto"/>
                <w:kern w:val="0"/>
                <w:szCs w:val="21"/>
                <w:highlight w:val="none"/>
              </w:rPr>
              <w:t>供应商取得《广西中药饮片代煎质量管理规范（试行）》要求的认证资格或承诺成交后三个月内能在桂林设有代煎服务点并通过《广西中药饮片代煎质量管理规范（试行）》要求的认证资格。</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color w:val="auto"/>
                <w:kern w:val="0"/>
                <w:szCs w:val="21"/>
                <w:highlight w:val="none"/>
              </w:rPr>
            </w:pPr>
            <w:r>
              <w:rPr>
                <w:rFonts w:hint="eastAsia" w:ascii="Arial" w:hAnsi="Arial" w:eastAsia="宋体" w:cs="Arial"/>
                <w:color w:val="auto"/>
                <w:kern w:val="0"/>
                <w:szCs w:val="21"/>
                <w:highlight w:val="none"/>
              </w:rPr>
              <w:t>（2）业绩要求：无。</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color w:val="auto"/>
                <w:kern w:val="0"/>
                <w:szCs w:val="21"/>
                <w:highlight w:val="none"/>
              </w:rPr>
            </w:pPr>
            <w:r>
              <w:rPr>
                <w:rFonts w:hint="eastAsia" w:ascii="Arial" w:hAnsi="Arial" w:eastAsia="宋体" w:cs="Arial"/>
                <w:color w:val="auto"/>
                <w:kern w:val="0"/>
                <w:szCs w:val="21"/>
                <w:highlight w:val="none"/>
              </w:rPr>
              <w:t>（3）单位负责人为同一人或者存在直接控股、管理关系的不同供应商，不得参加本项目同一合同项下的采购活动。为本项目提供整体设计、规范编制或者项目管理、监理、检测等服务的供应商，不得再参加本项目的采购活动。</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color w:val="auto"/>
                <w:kern w:val="0"/>
                <w:szCs w:val="21"/>
                <w:highlight w:val="none"/>
              </w:rPr>
            </w:pPr>
            <w:r>
              <w:rPr>
                <w:rFonts w:hint="eastAsia" w:ascii="Arial" w:hAnsi="Arial" w:eastAsia="宋体" w:cs="Arial"/>
                <w:color w:val="auto"/>
                <w:kern w:val="0"/>
                <w:szCs w:val="21"/>
                <w:highlight w:val="none"/>
              </w:rPr>
              <w:t>（4）未被列入失信被执行人、重大税收违法失信主体、政府采购严重违法失信行为记录名单。</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color w:val="auto"/>
                <w:kern w:val="0"/>
                <w:szCs w:val="21"/>
                <w:highlight w:val="none"/>
              </w:rPr>
            </w:pPr>
            <w:r>
              <w:rPr>
                <w:rFonts w:hint="eastAsia" w:ascii="Arial" w:hAnsi="Arial" w:eastAsia="宋体" w:cs="Arial"/>
                <w:color w:val="auto"/>
                <w:kern w:val="0"/>
                <w:szCs w:val="21"/>
                <w:highlight w:val="none"/>
              </w:rPr>
              <w:t>（5）按照磋商公告的规定获得采购文件。采购文件有规定时按要求提交磋商保证金。</w:t>
            </w:r>
          </w:p>
          <w:p>
            <w:pPr>
              <w:keepNext w:val="0"/>
              <w:keepLines w:val="0"/>
              <w:suppressLineNumbers w:val="0"/>
              <w:snapToGrid w:val="0"/>
              <w:spacing w:before="0" w:beforeAutospacing="0" w:after="0" w:afterAutospacing="0" w:line="288" w:lineRule="auto"/>
              <w:ind w:left="0" w:right="0"/>
              <w:jc w:val="left"/>
              <w:rPr>
                <w:rFonts w:ascii="Arial" w:hAnsi="Arial" w:eastAsia="宋体" w:cs="Arial"/>
                <w:color w:val="auto"/>
                <w:szCs w:val="21"/>
                <w:highlight w:val="none"/>
              </w:rPr>
            </w:pPr>
            <w:r>
              <w:rPr>
                <w:rFonts w:hint="eastAsia" w:ascii="Arial" w:hAnsi="Arial" w:eastAsia="宋体" w:cs="Arial"/>
                <w:color w:val="auto"/>
                <w:kern w:val="0"/>
                <w:szCs w:val="21"/>
                <w:highlight w:val="none"/>
              </w:rPr>
              <w:t>（6）本项目不接受联合体磋商。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1.4.1</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t>现场踏勘：</w:t>
            </w:r>
            <w:r>
              <w:rPr>
                <w:rFonts w:ascii="Arial" w:hAnsi="Arial" w:eastAsia="宋体" w:cs="Arial"/>
                <w:color w:val="auto"/>
                <w:szCs w:val="21"/>
                <w:highlight w:val="none"/>
              </w:rPr>
              <w:sym w:font="Wingdings 2" w:char="F052"/>
            </w:r>
            <w:r>
              <w:rPr>
                <w:rFonts w:ascii="Arial" w:hAnsi="Arial" w:eastAsia="宋体" w:cs="Arial"/>
                <w:color w:val="auto"/>
                <w:szCs w:val="21"/>
                <w:highlight w:val="none"/>
              </w:rPr>
              <w:t xml:space="preserve">无   </w:t>
            </w:r>
            <w:r>
              <w:rPr>
                <w:rFonts w:ascii="Arial" w:hAnsi="Arial" w:eastAsia="宋体" w:cs="Arial"/>
                <w:color w:val="auto"/>
                <w:szCs w:val="21"/>
                <w:highlight w:val="none"/>
              </w:rPr>
              <w:sym w:font="Wingdings 2" w:char="F0A3"/>
            </w:r>
            <w:r>
              <w:rPr>
                <w:rFonts w:ascii="Arial" w:hAnsi="Arial" w:eastAsia="宋体" w:cs="Arial"/>
                <w:color w:val="auto"/>
                <w:szCs w:val="21"/>
                <w:highlight w:val="none"/>
              </w:rPr>
              <w:t xml:space="preserve">有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2.3.2</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t>磋商文件澄清、修改发布方式：</w:t>
            </w:r>
          </w:p>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sym w:font="Wingdings 2" w:char="F052"/>
            </w:r>
            <w:r>
              <w:rPr>
                <w:rFonts w:ascii="Arial" w:hAnsi="Arial" w:eastAsia="宋体" w:cs="Arial"/>
                <w:color w:val="auto"/>
                <w:szCs w:val="21"/>
                <w:highlight w:val="none"/>
              </w:rPr>
              <w:t>在竞争性磋商公告发布媒介上发布</w:t>
            </w:r>
          </w:p>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t>□书面形式发给所有供应商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2.3.5</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sym w:font="Wingdings 2" w:char="F052"/>
            </w:r>
            <w:r>
              <w:rPr>
                <w:rFonts w:ascii="Arial" w:hAnsi="Arial" w:eastAsia="宋体" w:cs="Arial"/>
                <w:color w:val="auto"/>
                <w:szCs w:val="21"/>
                <w:highlight w:val="none"/>
              </w:rPr>
              <w:t>不需要确认。澄清、修改文件在本章第2.3.2款规定竞争性磋商公告发布媒介上发布之日起，视为供应商已收到该澄清。供应商未及时关注发布媒介造成的损失，由供应自行负责。</w:t>
            </w:r>
          </w:p>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t>□需要确认。供应商在收到澄清、修改文件后24小时内以书面形式通知采购人，确认已收到该澄清。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3.3</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t>1、磋商报价是履行合同的最终价格。本次报价须为人民币报价，只要填报了一个确定数额的总价，无论分项价格是否全部填报了相应的金额，报价应被视为已经包含了但并不限于本项目各项购买服务及相关服务等的费用和所需缴纳的所有价格、税、费。在其它情况下，由于分项报价未填报或填报不完整、不清楚或存在其它任何失误，所导致的任何不利后果均应当由供应商自行承担。</w:t>
            </w:r>
          </w:p>
          <w:p>
            <w:pPr>
              <w:keepNext w:val="0"/>
              <w:keepLines w:val="0"/>
              <w:suppressLineNumbers w:val="0"/>
              <w:snapToGrid w:val="0"/>
              <w:spacing w:before="0" w:beforeAutospacing="0" w:after="0" w:afterAutospacing="0" w:line="288" w:lineRule="auto"/>
              <w:ind w:left="0" w:right="0"/>
              <w:rPr>
                <w:rFonts w:ascii="Arial" w:hAnsi="Arial" w:eastAsia="宋体" w:cs="Arial"/>
                <w:color w:val="auto"/>
                <w:szCs w:val="21"/>
                <w:highlight w:val="none"/>
              </w:rPr>
            </w:pPr>
            <w:r>
              <w:rPr>
                <w:rFonts w:ascii="Arial" w:hAnsi="Arial" w:eastAsia="宋体" w:cs="Arial"/>
                <w:color w:val="auto"/>
                <w:szCs w:val="21"/>
                <w:highlight w:val="none"/>
              </w:rPr>
              <w:t>2、响应文件只允许有一个最后报价，有选择的或有条件的最后报价将不予接受。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3.4.1</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磋商有效期：响应文件递交截止之日起60天。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9"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3.5</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numPr>
                <w:ilvl w:val="0"/>
                <w:numId w:val="5"/>
              </w:numPr>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磋商保证金</w:t>
            </w:r>
            <w:r>
              <w:rPr>
                <w:rFonts w:ascii="Arial" w:hAnsi="Arial" w:eastAsia="宋体" w:cs="Arial"/>
                <w:color w:val="auto"/>
                <w:kern w:val="0"/>
                <w:szCs w:val="21"/>
                <w:highlight w:val="none"/>
              </w:rPr>
              <w:t>金额：</w:t>
            </w:r>
            <w:r>
              <w:rPr>
                <w:rFonts w:hint="eastAsia" w:ascii="Arial" w:hAnsi="Arial" w:eastAsia="宋体" w:cs="Arial"/>
                <w:color w:val="auto"/>
                <w:kern w:val="0"/>
                <w:szCs w:val="21"/>
                <w:highlight w:val="none"/>
              </w:rPr>
              <w:t>人民币叁仟元整（¥3000.00）</w:t>
            </w:r>
          </w:p>
          <w:p>
            <w:pPr>
              <w:keepNext w:val="0"/>
              <w:keepLines w:val="0"/>
              <w:suppressLineNumbers w:val="0"/>
              <w:snapToGrid w:val="0"/>
              <w:spacing w:before="0" w:beforeAutospacing="0" w:after="0" w:afterAutospacing="0" w:line="288" w:lineRule="auto"/>
              <w:ind w:left="0" w:right="0"/>
              <w:jc w:val="left"/>
              <w:rPr>
                <w:rFonts w:ascii="Arial" w:hAnsi="Arial" w:eastAsia="宋体" w:cs="Arial"/>
                <w:color w:val="auto"/>
                <w:kern w:val="0"/>
                <w:szCs w:val="21"/>
                <w:highlight w:val="none"/>
              </w:rPr>
            </w:pPr>
            <w:r>
              <w:rPr>
                <w:rFonts w:ascii="Arial" w:hAnsi="Arial" w:eastAsia="宋体" w:cs="Arial"/>
                <w:color w:val="auto"/>
                <w:szCs w:val="21"/>
                <w:highlight w:val="none"/>
              </w:rPr>
              <w:t>2、</w:t>
            </w:r>
            <w:r>
              <w:rPr>
                <w:rFonts w:ascii="Arial" w:hAnsi="Arial" w:eastAsia="宋体" w:cs="Arial"/>
                <w:color w:val="auto"/>
                <w:kern w:val="0"/>
                <w:szCs w:val="21"/>
                <w:highlight w:val="none"/>
              </w:rPr>
              <w:t>供应商应于截标时间前将磋商保证金以电汇、转账形式从供应商账户一次性足额交纳至本项目对应的专用虚拟账号，所交纳的磋商保证金仅限当次项目有效，不得重复替代使用。本项目磋商保证金交纳专用虚拟账号信息如下：</w:t>
            </w:r>
          </w:p>
          <w:p>
            <w:pPr>
              <w:keepNext w:val="0"/>
              <w:keepLines w:val="0"/>
              <w:suppressLineNumbers w:val="0"/>
              <w:snapToGrid w:val="0"/>
              <w:spacing w:before="0" w:beforeAutospacing="0" w:after="0" w:afterAutospacing="0" w:line="288" w:lineRule="auto"/>
              <w:ind w:left="0" w:right="0" w:firstLine="420" w:firstLineChars="200"/>
              <w:rPr>
                <w:rFonts w:ascii="Arial" w:hAnsi="Arial" w:eastAsia="宋体" w:cs="Times New Roman"/>
                <w:color w:val="auto"/>
                <w:szCs w:val="21"/>
                <w:highlight w:val="none"/>
              </w:rPr>
            </w:pPr>
            <w:r>
              <w:rPr>
                <w:rFonts w:ascii="Arial" w:hAnsi="Arial" w:eastAsia="宋体" w:cs="Times New Roman"/>
                <w:color w:val="auto"/>
                <w:szCs w:val="21"/>
                <w:highlight w:val="none"/>
              </w:rPr>
              <w:t>开户名称：广西机电设备招标有限公司；</w:t>
            </w:r>
          </w:p>
          <w:p>
            <w:pPr>
              <w:keepNext w:val="0"/>
              <w:keepLines w:val="0"/>
              <w:suppressLineNumbers w:val="0"/>
              <w:snapToGrid w:val="0"/>
              <w:spacing w:before="0" w:beforeAutospacing="0" w:after="0" w:afterAutospacing="0" w:line="288" w:lineRule="auto"/>
              <w:ind w:left="0" w:right="0" w:firstLine="420" w:firstLineChars="200"/>
              <w:rPr>
                <w:rFonts w:ascii="Arial" w:hAnsi="Arial" w:eastAsia="宋体" w:cs="Times New Roman"/>
                <w:color w:val="auto"/>
                <w:szCs w:val="21"/>
                <w:highlight w:val="none"/>
              </w:rPr>
            </w:pPr>
            <w:r>
              <w:rPr>
                <w:rFonts w:ascii="Arial" w:hAnsi="Arial" w:eastAsia="宋体" w:cs="Times New Roman"/>
                <w:color w:val="auto"/>
                <w:szCs w:val="21"/>
                <w:highlight w:val="none"/>
              </w:rPr>
              <w:t>开户银行：平安银行南宁分行营业部；</w:t>
            </w:r>
          </w:p>
          <w:p>
            <w:pPr>
              <w:keepNext w:val="0"/>
              <w:keepLines w:val="0"/>
              <w:suppressLineNumbers w:val="0"/>
              <w:snapToGrid w:val="0"/>
              <w:spacing w:before="0" w:beforeAutospacing="0" w:after="0" w:afterAutospacing="0" w:line="288" w:lineRule="auto"/>
              <w:ind w:left="0" w:right="0" w:firstLine="420" w:firstLineChars="200"/>
              <w:rPr>
                <w:rFonts w:hint="eastAsia" w:ascii="Arial" w:hAnsi="Arial" w:eastAsia="宋体" w:cs="Times New Roman"/>
                <w:color w:val="auto"/>
                <w:szCs w:val="21"/>
                <w:highlight w:val="none"/>
              </w:rPr>
            </w:pPr>
            <w:r>
              <w:rPr>
                <w:rFonts w:ascii="Arial" w:hAnsi="Arial" w:eastAsia="宋体" w:cs="Times New Roman"/>
                <w:color w:val="auto"/>
                <w:szCs w:val="21"/>
                <w:highlight w:val="none"/>
              </w:rPr>
              <w:t>开户账号：</w:t>
            </w:r>
            <w:r>
              <w:rPr>
                <w:rFonts w:hint="eastAsia" w:ascii="Arial" w:hAnsi="Arial" w:eastAsia="宋体" w:cs="Times New Roman"/>
                <w:color w:val="auto"/>
                <w:szCs w:val="21"/>
                <w:highlight w:val="none"/>
              </w:rPr>
              <w:t>30210485516323</w:t>
            </w:r>
          </w:p>
          <w:p>
            <w:pPr>
              <w:keepNext w:val="0"/>
              <w:keepLines w:val="0"/>
              <w:suppressLineNumbers w:val="0"/>
              <w:snapToGrid w:val="0"/>
              <w:spacing w:before="0" w:beforeAutospacing="0" w:after="0" w:afterAutospacing="0" w:line="288" w:lineRule="auto"/>
              <w:ind w:left="0" w:right="0"/>
              <w:jc w:val="left"/>
              <w:rPr>
                <w:rFonts w:ascii="Arial" w:hAnsi="Arial" w:eastAsia="宋体" w:cs="Times New Roman"/>
                <w:color w:val="auto"/>
                <w:szCs w:val="21"/>
                <w:highlight w:val="none"/>
              </w:rPr>
            </w:pPr>
            <w:r>
              <w:rPr>
                <w:rFonts w:ascii="Arial" w:hAnsi="Arial" w:eastAsia="宋体" w:cs="Times New Roman"/>
                <w:color w:val="auto"/>
                <w:szCs w:val="21"/>
                <w:highlight w:val="none"/>
              </w:rPr>
              <w:t>特别说明：本项目保证金采用虚拟账号，为确保保证金与项目一一对应，保证金退还时将采用原路返回的方式，因此本项目不接受现金、汇票、支付宝微信等第三方支付形式递交的保证金。缴纳时应在“汇款用途”或“款项来源”栏注明“</w:t>
            </w:r>
            <w:r>
              <w:rPr>
                <w:rFonts w:ascii="Arial" w:hAnsi="Arial" w:eastAsia="宋体" w:cs="Times New Roman"/>
                <w:b/>
                <w:color w:val="auto"/>
                <w:szCs w:val="21"/>
                <w:highlight w:val="none"/>
              </w:rPr>
              <w:t>202</w:t>
            </w:r>
            <w:r>
              <w:rPr>
                <w:rFonts w:hint="eastAsia" w:ascii="Arial" w:hAnsi="Arial" w:eastAsia="宋体" w:cs="Times New Roman"/>
                <w:b/>
                <w:color w:val="auto"/>
                <w:szCs w:val="21"/>
                <w:highlight w:val="none"/>
              </w:rPr>
              <w:t>5</w:t>
            </w:r>
            <w:r>
              <w:rPr>
                <w:rFonts w:ascii="Arial" w:hAnsi="Arial" w:eastAsia="宋体" w:cs="Times New Roman"/>
                <w:b/>
                <w:color w:val="auto"/>
                <w:szCs w:val="21"/>
                <w:highlight w:val="none"/>
              </w:rPr>
              <w:t>-</w:t>
            </w:r>
            <w:r>
              <w:rPr>
                <w:rFonts w:hint="eastAsia" w:ascii="Arial" w:hAnsi="Arial" w:eastAsia="宋体" w:cs="Times New Roman"/>
                <w:b/>
                <w:color w:val="auto"/>
                <w:szCs w:val="21"/>
                <w:highlight w:val="none"/>
              </w:rPr>
              <w:t>C030940</w:t>
            </w:r>
            <w:r>
              <w:rPr>
                <w:rFonts w:ascii="Arial" w:hAnsi="Arial" w:eastAsia="宋体" w:cs="Times New Roman"/>
                <w:color w:val="auto"/>
                <w:szCs w:val="21"/>
                <w:highlight w:val="none"/>
              </w:rPr>
              <w:t>保证金”字样。</w:t>
            </w:r>
          </w:p>
          <w:p>
            <w:pPr>
              <w:keepNext w:val="0"/>
              <w:keepLines w:val="0"/>
              <w:suppressLineNumbers w:val="0"/>
              <w:snapToGrid w:val="0"/>
              <w:spacing w:before="0" w:beforeAutospacing="0" w:after="0" w:afterAutospacing="0" w:line="288" w:lineRule="auto"/>
              <w:ind w:left="0" w:right="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3、财务部联系电话：0771-2821398。</w:t>
            </w:r>
          </w:p>
          <w:p>
            <w:pPr>
              <w:keepNext w:val="0"/>
              <w:keepLines w:val="0"/>
              <w:suppressLineNumbers w:val="0"/>
              <w:snapToGrid w:val="0"/>
              <w:spacing w:before="0" w:beforeAutospacing="0" w:after="0" w:afterAutospacing="0" w:line="288" w:lineRule="auto"/>
              <w:ind w:left="0" w:right="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4、</w:t>
            </w:r>
            <w:r>
              <w:rPr>
                <w:rFonts w:hint="eastAsia" w:ascii="Arial" w:hAnsi="Arial" w:eastAsia="宋体" w:cs="Arial"/>
                <w:color w:val="auto"/>
                <w:kern w:val="0"/>
                <w:szCs w:val="21"/>
                <w:highlight w:val="none"/>
              </w:rPr>
              <w:t>磋商</w:t>
            </w:r>
            <w:r>
              <w:rPr>
                <w:rFonts w:ascii="Arial" w:hAnsi="Arial" w:eastAsia="宋体" w:cs="Arial"/>
                <w:color w:val="auto"/>
                <w:kern w:val="0"/>
                <w:szCs w:val="21"/>
                <w:highlight w:val="none"/>
              </w:rPr>
              <w:t>保证金交纳后无需开具收据，但必须在截标时间之前到达以上账号，其</w:t>
            </w:r>
            <w:r>
              <w:rPr>
                <w:rFonts w:hint="eastAsia" w:ascii="Arial" w:hAnsi="Arial" w:eastAsia="宋体" w:cs="Arial"/>
                <w:color w:val="auto"/>
                <w:kern w:val="0"/>
                <w:szCs w:val="21"/>
                <w:highlight w:val="none"/>
              </w:rPr>
              <w:t>到账</w:t>
            </w:r>
            <w:r>
              <w:rPr>
                <w:rFonts w:ascii="Arial" w:hAnsi="Arial" w:eastAsia="宋体" w:cs="Arial"/>
                <w:color w:val="auto"/>
                <w:kern w:val="0"/>
                <w:szCs w:val="21"/>
                <w:highlight w:val="none"/>
              </w:rPr>
              <w:t>时间以银行确认的到达账号时间为准。</w:t>
            </w:r>
          </w:p>
          <w:p>
            <w:pPr>
              <w:keepNext w:val="0"/>
              <w:keepLines w:val="0"/>
              <w:suppressLineNumbers w:val="0"/>
              <w:snapToGrid w:val="0"/>
              <w:spacing w:before="0" w:beforeAutospacing="0" w:after="0" w:afterAutospacing="0" w:line="288" w:lineRule="auto"/>
              <w:ind w:left="0" w:right="0"/>
              <w:jc w:val="left"/>
              <w:rPr>
                <w:rFonts w:ascii="Arial" w:hAnsi="Arial" w:eastAsia="宋体" w:cs="Arial"/>
                <w:color w:val="auto"/>
                <w:szCs w:val="21"/>
                <w:highlight w:val="none"/>
              </w:rPr>
            </w:pPr>
            <w:r>
              <w:rPr>
                <w:rFonts w:ascii="Arial" w:hAnsi="Arial" w:eastAsia="宋体" w:cs="Arial"/>
                <w:color w:val="auto"/>
                <w:kern w:val="0"/>
                <w:szCs w:val="21"/>
                <w:highlight w:val="none"/>
              </w:rPr>
              <w:t>5、未按要求交纳</w:t>
            </w:r>
            <w:r>
              <w:rPr>
                <w:rFonts w:hint="eastAsia" w:ascii="Arial" w:hAnsi="Arial" w:eastAsia="宋体" w:cs="Arial"/>
                <w:color w:val="auto"/>
                <w:kern w:val="0"/>
                <w:szCs w:val="21"/>
                <w:highlight w:val="none"/>
              </w:rPr>
              <w:t>磋商</w:t>
            </w:r>
            <w:r>
              <w:rPr>
                <w:rFonts w:ascii="Arial" w:hAnsi="Arial" w:eastAsia="宋体" w:cs="Arial"/>
                <w:color w:val="auto"/>
                <w:kern w:val="0"/>
                <w:szCs w:val="21"/>
                <w:highlight w:val="none"/>
              </w:rPr>
              <w:t>保证金的响应文件，将作无效响应文件处理。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3.6.2</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响应文件应为1个密封袋。文件材料包括：纸质版响应文件正本 1 份；副本 3 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3.6.3</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响应文件电子版</w:t>
            </w:r>
            <w:r>
              <w:rPr>
                <w:rFonts w:hint="eastAsia" w:ascii="Arial" w:hAnsi="Arial" w:eastAsia="宋体" w:cs="Arial"/>
                <w:bCs/>
                <w:color w:val="auto"/>
                <w:szCs w:val="21"/>
                <w:highlight w:val="none"/>
              </w:rPr>
              <w:t>：无要求</w:t>
            </w:r>
            <w:r>
              <w:rPr>
                <w:rFonts w:ascii="Arial" w:hAnsi="Arial" w:eastAsia="宋体" w:cs="Arial"/>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hint="eastAsia" w:ascii="Arial" w:hAnsi="Arial" w:eastAsia="宋体" w:cs="Arial"/>
                <w:bCs/>
                <w:color w:val="auto"/>
                <w:szCs w:val="21"/>
                <w:highlight w:val="none"/>
              </w:rPr>
              <w:t>3.8.2</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响应文件递交时间</w:t>
            </w:r>
            <w:r>
              <w:rPr>
                <w:rFonts w:ascii="Arial" w:hAnsi="Arial" w:eastAsia="宋体" w:cs="Arial"/>
                <w:bCs/>
                <w:color w:val="auto"/>
                <w:szCs w:val="21"/>
                <w:highlight w:val="none"/>
              </w:rPr>
              <w:t>：</w:t>
            </w:r>
            <w:r>
              <w:rPr>
                <w:rFonts w:hint="eastAsia" w:ascii="Arial" w:hAnsi="Arial" w:eastAsia="宋体" w:cs="Arial"/>
                <w:bCs/>
                <w:color w:val="auto"/>
                <w:szCs w:val="21"/>
                <w:highlight w:val="none"/>
              </w:rPr>
              <w:t>2025年</w:t>
            </w:r>
            <w:r>
              <w:rPr>
                <w:rFonts w:hint="eastAsia" w:ascii="Arial" w:hAnsi="Arial" w:eastAsia="宋体" w:cs="Arial"/>
                <w:color w:val="auto"/>
                <w:szCs w:val="21"/>
                <w:highlight w:val="none"/>
                <w:lang w:val="en-US" w:eastAsia="zh-CN"/>
              </w:rPr>
              <w:t>10</w:t>
            </w:r>
            <w:r>
              <w:rPr>
                <w:rFonts w:hint="eastAsia" w:ascii="Arial" w:hAnsi="Arial" w:eastAsia="宋体" w:cs="Arial"/>
                <w:color w:val="auto"/>
                <w:szCs w:val="21"/>
                <w:highlight w:val="none"/>
              </w:rPr>
              <w:t>月</w:t>
            </w:r>
            <w:r>
              <w:rPr>
                <w:rFonts w:hint="eastAsia" w:ascii="Arial" w:hAnsi="Arial" w:eastAsia="宋体" w:cs="Arial"/>
                <w:color w:val="auto"/>
                <w:szCs w:val="21"/>
                <w:highlight w:val="none"/>
                <w:lang w:val="en-US" w:eastAsia="zh-CN"/>
              </w:rPr>
              <w:t>16</w:t>
            </w:r>
            <w:r>
              <w:rPr>
                <w:rFonts w:hint="eastAsia" w:ascii="Arial" w:hAnsi="Arial" w:eastAsia="宋体" w:cs="Arial"/>
                <w:color w:val="auto"/>
                <w:szCs w:val="21"/>
                <w:highlight w:val="none"/>
              </w:rPr>
              <w:t>日</w:t>
            </w:r>
            <w:r>
              <w:rPr>
                <w:rFonts w:hint="eastAsia" w:ascii="Arial" w:hAnsi="Arial" w:eastAsia="宋体" w:cs="Arial"/>
                <w:bCs/>
                <w:color w:val="auto"/>
                <w:szCs w:val="21"/>
                <w:highlight w:val="none"/>
              </w:rPr>
              <w:t>8</w:t>
            </w:r>
            <w:r>
              <w:rPr>
                <w:rFonts w:ascii="Arial" w:hAnsi="Arial" w:eastAsia="宋体" w:cs="Arial"/>
                <w:bCs/>
                <w:color w:val="auto"/>
                <w:szCs w:val="21"/>
                <w:highlight w:val="none"/>
              </w:rPr>
              <w:t>时</w:t>
            </w:r>
            <w:r>
              <w:rPr>
                <w:rFonts w:hint="eastAsia" w:ascii="Arial" w:hAnsi="Arial" w:eastAsia="宋体" w:cs="Arial"/>
                <w:bCs/>
                <w:color w:val="auto"/>
                <w:szCs w:val="21"/>
                <w:highlight w:val="none"/>
              </w:rPr>
              <w:t>30</w:t>
            </w:r>
            <w:r>
              <w:rPr>
                <w:rFonts w:ascii="Arial" w:hAnsi="Arial" w:eastAsia="宋体" w:cs="Arial"/>
                <w:bCs/>
                <w:color w:val="auto"/>
                <w:szCs w:val="21"/>
                <w:highlight w:val="none"/>
              </w:rPr>
              <w:t>分</w:t>
            </w:r>
            <w:r>
              <w:rPr>
                <w:rFonts w:hint="eastAsia" w:ascii="Arial" w:hAnsi="Arial" w:eastAsia="宋体" w:cs="Arial"/>
                <w:bCs/>
                <w:color w:val="auto"/>
                <w:szCs w:val="21"/>
                <w:highlight w:val="none"/>
              </w:rPr>
              <w:t>9</w:t>
            </w:r>
            <w:r>
              <w:rPr>
                <w:rFonts w:ascii="Arial" w:hAnsi="Arial" w:eastAsia="宋体" w:cs="Arial"/>
                <w:bCs/>
                <w:color w:val="auto"/>
                <w:szCs w:val="21"/>
                <w:highlight w:val="none"/>
              </w:rPr>
              <w:t>时</w:t>
            </w:r>
            <w:r>
              <w:rPr>
                <w:rFonts w:hint="eastAsia" w:ascii="Arial" w:hAnsi="Arial" w:eastAsia="宋体" w:cs="Arial"/>
                <w:bCs/>
                <w:color w:val="auto"/>
                <w:szCs w:val="21"/>
                <w:highlight w:val="none"/>
              </w:rPr>
              <w:t>30</w:t>
            </w:r>
            <w:r>
              <w:rPr>
                <w:rFonts w:ascii="Arial" w:hAnsi="Arial" w:eastAsia="宋体" w:cs="Arial"/>
                <w:bCs/>
                <w:color w:val="auto"/>
                <w:szCs w:val="21"/>
                <w:highlight w:val="none"/>
              </w:rPr>
              <w:t>分</w:t>
            </w:r>
            <w:r>
              <w:rPr>
                <w:rFonts w:ascii="Arial" w:hAnsi="Arial" w:eastAsia="宋体" w:cs="Arial"/>
                <w:bCs/>
                <w:color w:val="auto"/>
                <w:szCs w:val="21"/>
                <w:highlight w:val="none"/>
              </w:rPr>
              <w:t>（北京时间）</w:t>
            </w:r>
          </w:p>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响应文件递交截止时间：</w:t>
            </w:r>
            <w:r>
              <w:rPr>
                <w:rFonts w:hint="eastAsia" w:ascii="Arial" w:hAnsi="Arial" w:eastAsia="宋体" w:cs="Arial"/>
                <w:bCs/>
                <w:color w:val="auto"/>
                <w:szCs w:val="21"/>
                <w:highlight w:val="none"/>
              </w:rPr>
              <w:t>2025年</w:t>
            </w:r>
            <w:r>
              <w:rPr>
                <w:rFonts w:hint="eastAsia" w:ascii="Arial" w:hAnsi="Arial" w:eastAsia="宋体" w:cs="Arial"/>
                <w:color w:val="auto"/>
                <w:szCs w:val="21"/>
                <w:highlight w:val="none"/>
                <w:lang w:val="en-US" w:eastAsia="zh-CN"/>
              </w:rPr>
              <w:t>10</w:t>
            </w:r>
            <w:r>
              <w:rPr>
                <w:rFonts w:hint="eastAsia" w:ascii="Arial" w:hAnsi="Arial" w:eastAsia="宋体" w:cs="Arial"/>
                <w:color w:val="auto"/>
                <w:szCs w:val="21"/>
                <w:highlight w:val="none"/>
              </w:rPr>
              <w:t>月</w:t>
            </w:r>
            <w:r>
              <w:rPr>
                <w:rFonts w:hint="eastAsia" w:ascii="Arial" w:hAnsi="Arial" w:eastAsia="宋体" w:cs="Arial"/>
                <w:color w:val="auto"/>
                <w:szCs w:val="21"/>
                <w:highlight w:val="none"/>
                <w:lang w:val="en-US" w:eastAsia="zh-CN"/>
              </w:rPr>
              <w:t>16</w:t>
            </w:r>
            <w:r>
              <w:rPr>
                <w:rFonts w:hint="eastAsia" w:ascii="Arial" w:hAnsi="Arial" w:eastAsia="宋体" w:cs="Arial"/>
                <w:color w:val="auto"/>
                <w:szCs w:val="21"/>
                <w:highlight w:val="none"/>
              </w:rPr>
              <w:t>日</w:t>
            </w:r>
            <w:r>
              <w:rPr>
                <w:rFonts w:hint="eastAsia" w:ascii="Arial" w:hAnsi="Arial" w:eastAsia="宋体" w:cs="Arial"/>
                <w:bCs/>
                <w:color w:val="auto"/>
                <w:szCs w:val="21"/>
                <w:highlight w:val="none"/>
              </w:rPr>
              <w:t>9 时30分</w:t>
            </w:r>
            <w:r>
              <w:rPr>
                <w:rFonts w:ascii="Arial" w:hAnsi="Arial" w:eastAsia="宋体" w:cs="Arial"/>
                <w:bCs/>
                <w:color w:val="auto"/>
                <w:szCs w:val="21"/>
                <w:highlight w:val="none"/>
              </w:rPr>
              <w:t>（北京时间）。</w:t>
            </w:r>
          </w:p>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响应文件递交地址：广西机电设备招标有限公司桂林分公司（桂林市骖鸾路31号湘商大厦6楼603）开标室。</w:t>
            </w:r>
          </w:p>
          <w:p>
            <w:pPr>
              <w:keepNext w:val="0"/>
              <w:keepLines w:val="0"/>
              <w:suppressLineNumbers w:val="0"/>
              <w:snapToGrid w:val="0"/>
              <w:spacing w:before="0" w:beforeAutospacing="0" w:after="0" w:afterAutospacing="0" w:line="288" w:lineRule="auto"/>
              <w:ind w:left="0" w:right="0"/>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响应文件递交方式：</w:t>
            </w:r>
            <w:r>
              <w:rPr>
                <w:rFonts w:ascii="Arial" w:hAnsi="Arial" w:eastAsia="宋体" w:cs="Arial"/>
                <w:color w:val="auto"/>
                <w:kern w:val="0"/>
                <w:szCs w:val="21"/>
                <w:highlight w:val="none"/>
              </w:rPr>
              <w:t>供应商应于</w:t>
            </w:r>
            <w:r>
              <w:rPr>
                <w:rFonts w:hint="eastAsia" w:ascii="Arial" w:hAnsi="Arial" w:eastAsia="宋体" w:cs="Arial"/>
                <w:color w:val="auto"/>
                <w:kern w:val="0"/>
                <w:szCs w:val="21"/>
                <w:highlight w:val="none"/>
              </w:rPr>
              <w:t>响应文件</w:t>
            </w:r>
            <w:r>
              <w:rPr>
                <w:rFonts w:ascii="Arial" w:hAnsi="Arial" w:eastAsia="宋体" w:cs="Arial"/>
                <w:color w:val="auto"/>
                <w:kern w:val="0"/>
                <w:szCs w:val="21"/>
                <w:highlight w:val="none"/>
              </w:rPr>
              <w:t>递交截止时间前将</w:t>
            </w:r>
            <w:r>
              <w:rPr>
                <w:rFonts w:hint="eastAsia" w:ascii="Arial" w:hAnsi="Arial" w:eastAsia="宋体" w:cs="Arial"/>
                <w:color w:val="auto"/>
                <w:kern w:val="0"/>
                <w:szCs w:val="21"/>
                <w:highlight w:val="none"/>
              </w:rPr>
              <w:t>响应文件</w:t>
            </w:r>
            <w:r>
              <w:rPr>
                <w:rFonts w:ascii="Arial" w:hAnsi="Arial" w:eastAsia="宋体" w:cs="Arial"/>
                <w:color w:val="auto"/>
                <w:kern w:val="0"/>
                <w:szCs w:val="21"/>
                <w:highlight w:val="none"/>
              </w:rPr>
              <w:t>密封并</w:t>
            </w:r>
            <w:r>
              <w:rPr>
                <w:rFonts w:hint="eastAsia" w:ascii="Arial" w:hAnsi="Arial" w:eastAsia="宋体" w:cs="Arial"/>
                <w:color w:val="auto"/>
                <w:kern w:val="0"/>
                <w:szCs w:val="21"/>
                <w:highlight w:val="none"/>
              </w:rPr>
              <w:t>提交</w:t>
            </w:r>
            <w:r>
              <w:rPr>
                <w:rFonts w:ascii="Arial" w:hAnsi="Arial" w:eastAsia="宋体" w:cs="Arial"/>
                <w:color w:val="auto"/>
                <w:kern w:val="0"/>
                <w:szCs w:val="21"/>
                <w:highlight w:val="none"/>
              </w:rPr>
              <w:t>至</w:t>
            </w:r>
            <w:r>
              <w:rPr>
                <w:rFonts w:hint="eastAsia" w:ascii="Arial" w:hAnsi="Arial" w:eastAsia="宋体" w:cs="Arial"/>
                <w:color w:val="auto"/>
                <w:kern w:val="0"/>
                <w:szCs w:val="21"/>
                <w:highlight w:val="none"/>
              </w:rPr>
              <w:t>响应文件</w:t>
            </w:r>
            <w:r>
              <w:rPr>
                <w:rFonts w:ascii="Arial" w:hAnsi="Arial" w:eastAsia="宋体" w:cs="Arial"/>
                <w:color w:val="auto"/>
                <w:kern w:val="0"/>
                <w:szCs w:val="21"/>
                <w:highlight w:val="none"/>
              </w:rPr>
              <w:t>递交截止地点。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hint="eastAsia" w:ascii="Arial" w:hAnsi="Arial" w:eastAsia="宋体" w:cs="Arial"/>
                <w:color w:val="auto"/>
                <w:szCs w:val="21"/>
                <w:highlight w:val="none"/>
              </w:rPr>
              <w:t>4.2</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1、截标会议结束。</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磋商顺序：按实际评审情况。</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磋商代表：响应文件中的授权代表还可另行准备一份法定代表人授权委托书（除响应文件中附有外），磋商代表在参加磋商时与身份证一同接受核对（法定代表人直接参加磋商的提供法定代表人身份证明）。</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2、磋商具体程序：</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采购代理机构将在指定的时间及地点组织磋商。磋商过程中，磋商小组可以根据磋商文件和磋商情况实质性变动采购需求中的技术、服务要求以及合同草案条款，但不得变动磋商文件中的其他内容。实质性变动的内容，须经采购人代表确认。磋商程序如下：</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1）磋商小组将根据供应商的响应文件、陈述含混模糊之处或需要进一步了解的细节对供应商提出问题，供应商的授权代表（或法定代表人）必须进行回答。供应商的法定代表人或其授权代表须到现场参加磋商，具体以提问时规定的方式为准。</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（2）第一轮磋商结束后，磋商小组进行合议。根据第一轮磋商掌握的情况，可以对磋商文件进行修改，确定采购内容的详细规格或具体要求，优化采购方案。</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3）采购代理机构通知所有参加磋商的供应商关于磋商小组调整后的采购要求（如有），并以书面方式告知供应商，给予供应商提供较充分的修正时间。对磋商文件作出的实质性变动是磋商文件的有效组成部分。</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（4）供应商根据第一轮磋商情况和磋商文件修改书面通知，对原响应文件进行修改，经签字确认后以书面方式提交至采购代理机构。逾时不交的，视同放弃磋商。修正文件与响应文件同具法律效力。</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（5）重新磋商：双方对修改后的应答文件进行磋商，直至达成磋商结果。磋商小组成员经评议后，根据磋商情况，可以要求供应商进行多次报价。</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（6）最终报价：最终报价采取书面报价方式。</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7）已提交响应文件的供应商，在提交最后报价之前，可以根据磋商情况退出磋商。退出磋商的须经签字确认后以书面方式提交至采购代理机构。磋商小组在评审报告中注明退出磋商的供应商名单。采购人、采购代理机构应当退还退出磋商的供应商的磋商保证金。</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（8）磋商达成。磋商的结果以书面为准，经供应商和磋商小组代表确认后，替代磋商文件或响应文件中相应的内容，并作为构成响应文件的一部分和作为评审的依据。如成交，则作为合同、履约等的组成部份。</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3、磋商时间：评审过程中由采购代理机构提前通过电话通知</w:t>
            </w:r>
          </w:p>
          <w:p>
            <w:pPr>
              <w:keepNext w:val="0"/>
              <w:keepLines w:val="0"/>
              <w:suppressLineNumbers w:val="0"/>
              <w:snapToGrid w:val="0"/>
              <w:spacing w:before="0" w:beforeAutospacing="0" w:after="0" w:afterAutospacing="0" w:line="288" w:lineRule="auto"/>
              <w:ind w:left="0" w:right="0"/>
              <w:jc w:val="left"/>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4、磋商小组在磋商中可能实质性变动的内容：采购需求中的技术、服务要求以及合同草案条款。</w:t>
            </w:r>
          </w:p>
          <w:p>
            <w:pPr>
              <w:keepNext w:val="0"/>
              <w:keepLines w:val="0"/>
              <w:suppressLineNumbers w:val="0"/>
              <w:snapToGrid w:val="0"/>
              <w:spacing w:before="0" w:beforeAutospacing="0" w:after="0" w:afterAutospacing="0" w:line="288" w:lineRule="auto"/>
              <w:ind w:left="0" w:right="0"/>
              <w:jc w:val="left"/>
              <w:rPr>
                <w:rFonts w:ascii="Arial" w:hAnsi="Arial" w:eastAsia="宋体" w:cs="Arial"/>
                <w:bCs/>
                <w:color w:val="auto"/>
                <w:szCs w:val="21"/>
                <w:highlight w:val="none"/>
              </w:rPr>
            </w:pPr>
            <w:r>
              <w:rPr>
                <w:rFonts w:hint="eastAsia" w:ascii="Arial" w:hAnsi="Arial" w:eastAsia="宋体" w:cs="Arial"/>
                <w:bCs/>
                <w:color w:val="auto"/>
                <w:szCs w:val="21"/>
                <w:highlight w:val="none"/>
              </w:rPr>
              <w:t>5、本项目所有响应文件的首次报价及所有磋商报价均不公布。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5.3</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评审方法及评审标准：综合评分法。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6.2</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left"/>
              <w:rPr>
                <w:rFonts w:ascii="Arial" w:hAnsi="Arial" w:eastAsia="宋体" w:cs="Arial"/>
                <w:bCs/>
                <w:color w:val="auto"/>
                <w:szCs w:val="21"/>
                <w:highlight w:val="none"/>
              </w:rPr>
            </w:pPr>
            <w:r>
              <w:rPr>
                <w:rFonts w:ascii="Arial" w:hAnsi="Arial" w:eastAsia="宋体" w:cs="Arial"/>
                <w:bCs/>
                <w:color w:val="auto"/>
                <w:szCs w:val="21"/>
                <w:highlight w:val="none"/>
              </w:rPr>
              <w:t>成交结果公告：采购代理机构在采购人依法确认成交供应商后发布成交结果公告。成交结果</w:t>
            </w:r>
            <w:r>
              <w:rPr>
                <w:rFonts w:ascii="Arial" w:hAnsi="Arial" w:eastAsia="宋体" w:cs="Arial"/>
                <w:b/>
                <w:color w:val="auto"/>
                <w:szCs w:val="21"/>
                <w:highlight w:val="none"/>
              </w:rPr>
              <w:t>公告发布于广西招标采购网</w:t>
            </w:r>
            <w:r>
              <w:rPr>
                <w:rFonts w:hint="eastAsia" w:ascii="Arial" w:hAnsi="Arial" w:eastAsia="宋体" w:cs="Arial"/>
                <w:b/>
                <w:color w:val="auto"/>
                <w:szCs w:val="21"/>
                <w:highlight w:val="none"/>
              </w:rPr>
              <w:t>、精彩纵横云采购平台、中国招标投标公共服务平台</w:t>
            </w:r>
            <w:r>
              <w:rPr>
                <w:rFonts w:ascii="Arial" w:hAnsi="Arial" w:eastAsia="宋体" w:cs="Arial"/>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6.3</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成交通知书发出形式：成交供应商前往采购代理机构领取。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7.2.1</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left"/>
              <w:rPr>
                <w:rFonts w:ascii="Arial" w:hAnsi="Arial" w:eastAsia="宋体" w:cs="Arial"/>
                <w:bCs/>
                <w:color w:val="auto"/>
                <w:szCs w:val="21"/>
                <w:highlight w:val="none"/>
              </w:rPr>
            </w:pPr>
            <w:r>
              <w:rPr>
                <w:rFonts w:ascii="Arial" w:hAnsi="Arial" w:eastAsia="宋体" w:cs="Arial"/>
                <w:bCs/>
                <w:color w:val="auto"/>
                <w:szCs w:val="21"/>
                <w:highlight w:val="none"/>
              </w:rPr>
              <w:t>签订合同时间：</w:t>
            </w:r>
            <w:r>
              <w:rPr>
                <w:rFonts w:ascii="Arial" w:hAnsi="Arial" w:eastAsia="宋体" w:cs="Arial"/>
                <w:b/>
                <w:color w:val="auto"/>
                <w:szCs w:val="21"/>
                <w:highlight w:val="none"/>
              </w:rPr>
              <w:t>成交通知书发出后</w:t>
            </w:r>
            <w:r>
              <w:rPr>
                <w:rFonts w:hint="eastAsia" w:ascii="Arial" w:hAnsi="Arial" w:eastAsia="宋体" w:cs="Arial"/>
                <w:b/>
                <w:color w:val="auto"/>
                <w:szCs w:val="21"/>
                <w:highlight w:val="none"/>
              </w:rPr>
              <w:t>25</w:t>
            </w:r>
            <w:r>
              <w:rPr>
                <w:rFonts w:ascii="Arial" w:hAnsi="Arial" w:eastAsia="宋体" w:cs="Arial"/>
                <w:b/>
                <w:color w:val="auto"/>
                <w:szCs w:val="21"/>
                <w:highlight w:val="none"/>
              </w:rPr>
              <w:t>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00" w:hRule="exact"/>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8</w:t>
            </w:r>
          </w:p>
        </w:tc>
        <w:tc>
          <w:tcPr>
            <w:tcW w:w="867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按如下规定向采购代理机构交纳代理服务费：</w:t>
            </w:r>
          </w:p>
          <w:p>
            <w:pPr>
              <w:keepNext w:val="0"/>
              <w:keepLines w:val="0"/>
              <w:suppressLineNumbers w:val="0"/>
              <w:snapToGrid w:val="0"/>
              <w:spacing w:before="0" w:beforeAutospacing="0" w:after="0" w:afterAutospacing="0" w:line="288" w:lineRule="auto"/>
              <w:ind w:left="0" w:right="0"/>
              <w:rPr>
                <w:rFonts w:hint="eastAsia" w:ascii="Arial" w:hAnsi="Arial" w:eastAsia="宋体" w:cs="Arial"/>
                <w:bCs/>
                <w:color w:val="auto"/>
                <w:szCs w:val="21"/>
                <w:highlight w:val="none"/>
              </w:rPr>
            </w:pPr>
            <w:r>
              <w:rPr>
                <w:rFonts w:ascii="Arial" w:hAnsi="Arial" w:eastAsia="宋体" w:cs="Arial"/>
                <w:bCs/>
                <w:color w:val="auto"/>
                <w:szCs w:val="21"/>
                <w:highlight w:val="none"/>
              </w:rPr>
              <w:t>（1）</w:t>
            </w:r>
            <w:r>
              <w:rPr>
                <w:rFonts w:hint="eastAsia" w:ascii="Arial" w:hAnsi="Arial" w:eastAsia="宋体" w:cs="Arial"/>
                <w:bCs/>
                <w:color w:val="auto"/>
                <w:szCs w:val="21"/>
                <w:highlight w:val="none"/>
              </w:rPr>
              <w:t>代理服务费标准：本项目代理服务费按固定金额人民币3000元（叁仟元整）收取。</w:t>
            </w:r>
          </w:p>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hint="eastAsia" w:ascii="Arial" w:hAnsi="Arial" w:eastAsia="宋体" w:cs="Arial"/>
                <w:bCs/>
                <w:color w:val="auto"/>
                <w:szCs w:val="21"/>
                <w:highlight w:val="none"/>
                <w:lang w:eastAsia="zh-CN"/>
              </w:rPr>
              <w:t>（</w:t>
            </w:r>
            <w:r>
              <w:rPr>
                <w:rFonts w:hint="eastAsia" w:ascii="Arial" w:hAnsi="Arial" w:eastAsia="宋体" w:cs="Arial"/>
                <w:bCs/>
                <w:color w:val="auto"/>
                <w:szCs w:val="21"/>
                <w:highlight w:val="none"/>
                <w:lang w:val="en-US" w:eastAsia="zh-CN"/>
              </w:rPr>
              <w:t>2</w:t>
            </w:r>
            <w:r>
              <w:rPr>
                <w:rFonts w:hint="eastAsia" w:ascii="Arial" w:hAnsi="Arial" w:eastAsia="宋体" w:cs="Arial"/>
                <w:bCs/>
                <w:color w:val="auto"/>
                <w:szCs w:val="21"/>
                <w:highlight w:val="none"/>
                <w:lang w:eastAsia="zh-CN"/>
              </w:rPr>
              <w:t>）</w:t>
            </w:r>
            <w:r>
              <w:rPr>
                <w:rFonts w:hint="eastAsia" w:ascii="Arial" w:hAnsi="Arial" w:eastAsia="宋体" w:cs="Arial"/>
                <w:bCs/>
                <w:color w:val="auto"/>
                <w:szCs w:val="21"/>
                <w:highlight w:val="none"/>
              </w:rPr>
              <w:t>代理服务费由</w:t>
            </w:r>
            <w:r>
              <w:rPr>
                <w:rFonts w:hint="eastAsia" w:ascii="Arial" w:hAnsi="Arial" w:eastAsia="宋体" w:cs="Arial"/>
                <w:bCs/>
                <w:color w:val="auto"/>
                <w:szCs w:val="21"/>
                <w:highlight w:val="none"/>
                <w:lang w:val="en-US" w:eastAsia="zh-CN"/>
              </w:rPr>
              <w:t>采购人</w:t>
            </w:r>
            <w:r>
              <w:rPr>
                <w:rFonts w:hint="eastAsia" w:ascii="Arial" w:hAnsi="Arial" w:eastAsia="宋体" w:cs="Arial"/>
                <w:bCs/>
                <w:color w:val="auto"/>
                <w:szCs w:val="21"/>
                <w:highlight w:val="none"/>
              </w:rPr>
              <w:t>向采购代理机构支付，在</w:t>
            </w:r>
            <w:r>
              <w:rPr>
                <w:rFonts w:hint="eastAsia" w:ascii="Arial" w:hAnsi="Arial" w:eastAsia="宋体" w:cs="Arial"/>
                <w:bCs/>
                <w:color w:val="auto"/>
                <w:szCs w:val="21"/>
                <w:highlight w:val="none"/>
                <w:lang w:val="en-US" w:eastAsia="zh-CN"/>
              </w:rPr>
              <w:t>成交</w:t>
            </w:r>
            <w:r>
              <w:rPr>
                <w:rFonts w:hint="eastAsia" w:ascii="Arial" w:hAnsi="Arial" w:eastAsia="宋体" w:cs="Arial"/>
                <w:bCs/>
                <w:color w:val="auto"/>
                <w:szCs w:val="21"/>
                <w:highlight w:val="none"/>
              </w:rPr>
              <w:t>供应商与</w:t>
            </w:r>
            <w:r>
              <w:rPr>
                <w:rFonts w:hint="eastAsia" w:ascii="Arial" w:hAnsi="Arial" w:eastAsia="宋体" w:cs="Arial"/>
                <w:bCs/>
                <w:color w:val="auto"/>
                <w:szCs w:val="21"/>
                <w:highlight w:val="none"/>
                <w:lang w:val="en-US" w:eastAsia="zh-CN"/>
              </w:rPr>
              <w:t>采购人</w:t>
            </w:r>
            <w:r>
              <w:rPr>
                <w:rFonts w:hint="eastAsia" w:ascii="Arial" w:hAnsi="Arial" w:eastAsia="宋体" w:cs="Arial"/>
                <w:bCs/>
                <w:color w:val="auto"/>
                <w:szCs w:val="21"/>
                <w:highlight w:val="none"/>
              </w:rPr>
              <w:t>签订合同后五个工作日内一次性支付。专家评审费由</w:t>
            </w:r>
            <w:r>
              <w:rPr>
                <w:rFonts w:hint="eastAsia" w:ascii="Arial" w:hAnsi="Arial" w:eastAsia="宋体" w:cs="Arial"/>
                <w:bCs/>
                <w:color w:val="auto"/>
                <w:szCs w:val="21"/>
                <w:highlight w:val="none"/>
                <w:lang w:val="en-US" w:eastAsia="zh-CN"/>
              </w:rPr>
              <w:t>采购人</w:t>
            </w:r>
            <w:r>
              <w:rPr>
                <w:rFonts w:hint="eastAsia" w:ascii="Arial" w:hAnsi="Arial" w:eastAsia="宋体" w:cs="Arial"/>
                <w:bCs/>
                <w:color w:val="auto"/>
                <w:szCs w:val="21"/>
                <w:highlight w:val="none"/>
              </w:rPr>
              <w:t>支付，在结果公告完以后且无人质疑，由</w:t>
            </w:r>
            <w:r>
              <w:rPr>
                <w:rFonts w:hint="eastAsia" w:ascii="Arial" w:hAnsi="Arial" w:eastAsia="宋体" w:cs="Arial"/>
                <w:bCs/>
                <w:color w:val="auto"/>
                <w:szCs w:val="21"/>
                <w:highlight w:val="none"/>
                <w:lang w:val="en-US" w:eastAsia="zh-CN"/>
              </w:rPr>
              <w:t>采购人</w:t>
            </w:r>
            <w:r>
              <w:rPr>
                <w:rFonts w:hint="eastAsia" w:ascii="Arial" w:hAnsi="Arial" w:eastAsia="宋体" w:cs="Arial"/>
                <w:bCs/>
                <w:color w:val="auto"/>
                <w:szCs w:val="21"/>
                <w:highlight w:val="none"/>
              </w:rPr>
              <w:t>在五个工作日内一次性支付。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65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注：供应商须知前附表是对供应商须知的具体补充和修改，如有矛盾，应以本前附表为准。</w:t>
            </w:r>
          </w:p>
        </w:tc>
      </w:tr>
    </w:tbl>
    <w:p>
      <w:pPr>
        <w:spacing w:before="120" w:line="320" w:lineRule="atLeast"/>
        <w:outlineLvl w:val="1"/>
        <w:rPr>
          <w:rFonts w:ascii="Arial" w:hAnsi="Arial" w:cs="Arial"/>
          <w:b/>
          <w:bCs/>
          <w:color w:val="auto"/>
          <w:kern w:val="0"/>
          <w:szCs w:val="21"/>
          <w:highlight w:val="none"/>
        </w:rPr>
      </w:pPr>
      <w:r>
        <w:rPr>
          <w:rFonts w:ascii="Arial" w:hAnsi="Arial" w:cs="Arial"/>
          <w:b/>
          <w:bCs/>
          <w:color w:val="auto"/>
          <w:kern w:val="0"/>
          <w:szCs w:val="21"/>
          <w:highlight w:val="none"/>
        </w:rPr>
        <w:br w:type="page"/>
      </w:r>
      <w:bookmarkEnd w:id="0"/>
      <w:bookmarkEnd w:id="1"/>
      <w:bookmarkEnd w:id="23"/>
      <w:bookmarkStart w:id="24" w:name="_Toc28046"/>
      <w:bookmarkStart w:id="25" w:name="_Toc18051"/>
      <w:bookmarkStart w:id="26" w:name="_Toc1552"/>
      <w:bookmarkStart w:id="27" w:name="_Toc7973"/>
      <w:bookmarkStart w:id="28" w:name="_Toc18832"/>
      <w:r>
        <w:rPr>
          <w:rFonts w:ascii="Arial" w:hAnsi="Arial" w:cs="Arial"/>
          <w:b/>
          <w:bCs/>
          <w:color w:val="auto"/>
          <w:kern w:val="0"/>
          <w:szCs w:val="21"/>
          <w:highlight w:val="none"/>
        </w:rPr>
        <w:t>1．总则</w:t>
      </w:r>
      <w:bookmarkEnd w:id="24"/>
      <w:bookmarkEnd w:id="25"/>
      <w:bookmarkEnd w:id="26"/>
      <w:bookmarkEnd w:id="27"/>
      <w:bookmarkEnd w:id="28"/>
    </w:p>
    <w:p>
      <w:pPr>
        <w:spacing w:before="120" w:line="320" w:lineRule="atLeast"/>
        <w:ind w:firstLine="422" w:firstLineChars="200"/>
        <w:outlineLvl w:val="2"/>
        <w:rPr>
          <w:rFonts w:ascii="Arial" w:hAnsi="Arial" w:cs="Arial"/>
          <w:b/>
          <w:bCs/>
          <w:color w:val="auto"/>
          <w:kern w:val="0"/>
          <w:szCs w:val="21"/>
          <w:highlight w:val="none"/>
        </w:rPr>
      </w:pPr>
      <w:bookmarkStart w:id="29" w:name="_Toc20438"/>
      <w:bookmarkStart w:id="30" w:name="_Toc9717"/>
      <w:bookmarkStart w:id="31" w:name="_Toc26360"/>
      <w:bookmarkStart w:id="32" w:name="_Toc254970527"/>
      <w:bookmarkStart w:id="33" w:name="_Toc254970668"/>
      <w:bookmarkStart w:id="34" w:name="_Toc7048"/>
      <w:bookmarkStart w:id="35" w:name="_Toc22238"/>
      <w:bookmarkStart w:id="36" w:name="_Toc28212"/>
      <w:r>
        <w:rPr>
          <w:rFonts w:ascii="Arial" w:hAnsi="Arial" w:cs="Arial"/>
          <w:b/>
          <w:bCs/>
          <w:color w:val="auto"/>
          <w:kern w:val="0"/>
          <w:szCs w:val="21"/>
          <w:highlight w:val="none"/>
        </w:rPr>
        <w:t>1.1适用范围</w:t>
      </w:r>
      <w:bookmarkEnd w:id="29"/>
      <w:bookmarkEnd w:id="30"/>
      <w:bookmarkEnd w:id="31"/>
      <w:bookmarkEnd w:id="32"/>
      <w:bookmarkEnd w:id="33"/>
      <w:bookmarkEnd w:id="34"/>
      <w:bookmarkEnd w:id="35"/>
      <w:bookmarkEnd w:id="36"/>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本磋商文件适用于“供应商须知前附表”所述项目的采购、磋商、评审、成交、验收、合同履约、付款等行为（法律、法规另有规定的，从其规定）。</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本项目采购方式为竞争性磋商。</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项目名称：灵川县中医医院中药饮片代煎服务</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项目编号：GXJD-25133CC030940</w:t>
      </w:r>
    </w:p>
    <w:p>
      <w:pPr>
        <w:spacing w:before="120" w:line="320" w:lineRule="atLeast"/>
        <w:ind w:firstLine="422" w:firstLineChars="200"/>
        <w:outlineLvl w:val="2"/>
        <w:rPr>
          <w:rFonts w:ascii="Arial" w:hAnsi="Arial" w:cs="Arial"/>
          <w:b/>
          <w:bCs/>
          <w:color w:val="auto"/>
          <w:kern w:val="0"/>
          <w:szCs w:val="21"/>
          <w:highlight w:val="none"/>
        </w:rPr>
      </w:pPr>
      <w:bookmarkStart w:id="37" w:name="_Toc6316"/>
      <w:bookmarkStart w:id="38" w:name="_Toc28104"/>
      <w:bookmarkStart w:id="39" w:name="_Toc19523"/>
      <w:bookmarkStart w:id="40" w:name="_Toc254970669"/>
      <w:bookmarkStart w:id="41" w:name="_Toc254970528"/>
      <w:bookmarkStart w:id="42" w:name="_Toc29912"/>
      <w:bookmarkStart w:id="43" w:name="_Toc29675"/>
      <w:bookmarkStart w:id="44" w:name="_Toc6426"/>
      <w:r>
        <w:rPr>
          <w:rFonts w:ascii="Arial" w:hAnsi="Arial" w:cs="Arial"/>
          <w:b/>
          <w:bCs/>
          <w:color w:val="auto"/>
          <w:kern w:val="0"/>
          <w:szCs w:val="21"/>
          <w:highlight w:val="none"/>
        </w:rPr>
        <w:t>1.2定义</w:t>
      </w:r>
      <w:bookmarkEnd w:id="37"/>
      <w:bookmarkEnd w:id="38"/>
      <w:bookmarkEnd w:id="39"/>
      <w:bookmarkEnd w:id="40"/>
      <w:bookmarkEnd w:id="41"/>
      <w:bookmarkEnd w:id="42"/>
      <w:bookmarkEnd w:id="43"/>
      <w:bookmarkEnd w:id="44"/>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1.2.1“采购人”系指依法进行采购的单位。</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1.2.2“供应商”系</w:t>
      </w:r>
      <w:r>
        <w:rPr>
          <w:rFonts w:ascii="Arial" w:hAnsi="Arial" w:cs="Arial"/>
          <w:color w:val="auto"/>
          <w:highlight w:val="none"/>
        </w:rPr>
        <w:t>指响应磋商文件、参加磋商竞争的法人</w:t>
      </w:r>
      <w:r>
        <w:rPr>
          <w:rFonts w:ascii="Arial" w:hAnsi="Arial" w:cs="Arial"/>
          <w:color w:val="auto"/>
          <w:szCs w:val="21"/>
          <w:highlight w:val="none"/>
        </w:rPr>
        <w:t>。</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1.2.3“产品”是指供应商按磋商文件规定，向采购人提供的一切设备、保险、税金、备品备件、工具、手册及其它有关技术资料和材料。</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1.2.4“服务”是指磋商文件规定供应商须承担的设计、编绘、组织、策划、开发、调研、安装、调试、技术协助、校准、培训、技术指导以及其他类似的服务。</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1.2.5“项目”是指供应商按磋商文件规定向采购人提供的工程、货物和服务。</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1.2.6“书面形式”如无特殊规定，则包括信函、传真、电报等。磋商文件如有特殊规定，以磋商文件规定为准。</w:t>
      </w:r>
    </w:p>
    <w:p>
      <w:pPr>
        <w:spacing w:before="120" w:line="320" w:lineRule="atLeast"/>
        <w:ind w:firstLine="420" w:firstLineChars="200"/>
        <w:rPr>
          <w:rFonts w:ascii="Arial" w:hAnsi="Arial" w:cs="Arial"/>
          <w:b/>
          <w:bCs/>
          <w:color w:val="auto"/>
          <w:szCs w:val="21"/>
          <w:highlight w:val="none"/>
        </w:rPr>
      </w:pPr>
      <w:r>
        <w:rPr>
          <w:rFonts w:ascii="Arial" w:hAnsi="Arial" w:cs="Arial"/>
          <w:color w:val="auto"/>
          <w:szCs w:val="21"/>
          <w:highlight w:val="none"/>
        </w:rPr>
        <w:t>1.2.7</w:t>
      </w:r>
      <w:r>
        <w:rPr>
          <w:rFonts w:hint="eastAsia" w:ascii="Arial" w:hAnsi="Arial" w:cs="Arial"/>
          <w:b/>
          <w:bCs/>
          <w:color w:val="auto"/>
          <w:szCs w:val="21"/>
          <w:highlight w:val="none"/>
        </w:rPr>
        <w:t>本项目“项目采购需求”中的所有内容及标注“必须提供”的均为实质性技术要求，如有负偏离将导致响应被否决。</w:t>
      </w:r>
    </w:p>
    <w:p>
      <w:pPr>
        <w:spacing w:before="120" w:line="320" w:lineRule="atLeast"/>
        <w:ind w:firstLine="422" w:firstLineChars="200"/>
        <w:outlineLvl w:val="2"/>
        <w:rPr>
          <w:rFonts w:ascii="Arial" w:hAnsi="Arial" w:cs="Arial"/>
          <w:b/>
          <w:bCs/>
          <w:color w:val="auto"/>
          <w:kern w:val="0"/>
          <w:szCs w:val="21"/>
          <w:highlight w:val="none"/>
        </w:rPr>
      </w:pPr>
      <w:bookmarkStart w:id="45" w:name="_Toc27631"/>
      <w:bookmarkStart w:id="46" w:name="_Toc3861"/>
      <w:bookmarkStart w:id="47" w:name="_Toc30642"/>
      <w:bookmarkStart w:id="48" w:name="_Toc24520"/>
      <w:bookmarkStart w:id="49" w:name="_Toc13273"/>
      <w:bookmarkStart w:id="50" w:name="_Toc15788"/>
      <w:r>
        <w:rPr>
          <w:rFonts w:ascii="Arial" w:hAnsi="Arial" w:cs="Arial"/>
          <w:b/>
          <w:bCs/>
          <w:color w:val="auto"/>
          <w:kern w:val="0"/>
          <w:szCs w:val="21"/>
          <w:highlight w:val="none"/>
        </w:rPr>
        <w:t>1.3供应商资格条件</w:t>
      </w:r>
      <w:bookmarkEnd w:id="45"/>
      <w:bookmarkEnd w:id="46"/>
      <w:bookmarkEnd w:id="47"/>
      <w:bookmarkEnd w:id="48"/>
      <w:bookmarkEnd w:id="49"/>
      <w:bookmarkEnd w:id="50"/>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1.3.1</w:t>
      </w:r>
      <w:r>
        <w:rPr>
          <w:rFonts w:hint="eastAsia" w:ascii="Arial" w:hAnsi="Arial" w:cs="Arial"/>
          <w:color w:val="auto"/>
          <w:szCs w:val="21"/>
          <w:highlight w:val="none"/>
        </w:rPr>
        <w:t>供应商资格要求</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1.3.1</w:t>
      </w:r>
      <w:r>
        <w:rPr>
          <w:rFonts w:hint="eastAsia" w:ascii="Arial" w:hAnsi="Arial" w:cs="Arial"/>
          <w:color w:val="auto"/>
          <w:szCs w:val="21"/>
          <w:highlight w:val="none"/>
        </w:rPr>
        <w:t>.1</w:t>
      </w:r>
      <w:r>
        <w:rPr>
          <w:rFonts w:ascii="Arial" w:hAnsi="Arial" w:cs="Arial"/>
          <w:color w:val="auto"/>
          <w:szCs w:val="21"/>
          <w:highlight w:val="none"/>
        </w:rPr>
        <w:t>．基本资格条件：供应商为在国内注册，生产或经营本次采购内容并具备独立企业法人资格的供应商。</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1.3.</w:t>
      </w:r>
      <w:r>
        <w:rPr>
          <w:rFonts w:hint="eastAsia" w:ascii="Arial" w:hAnsi="Arial" w:cs="Arial"/>
          <w:color w:val="auto"/>
          <w:szCs w:val="21"/>
          <w:highlight w:val="none"/>
        </w:rPr>
        <w:t>1.2</w:t>
      </w:r>
      <w:r>
        <w:rPr>
          <w:rFonts w:ascii="Arial" w:hAnsi="Arial" w:cs="Arial"/>
          <w:color w:val="auto"/>
          <w:szCs w:val="21"/>
          <w:highlight w:val="none"/>
        </w:rPr>
        <w:t>．特定资格条件：</w:t>
      </w:r>
    </w:p>
    <w:p>
      <w:pPr>
        <w:spacing w:line="288" w:lineRule="auto"/>
        <w:ind w:firstLine="420" w:firstLineChars="200"/>
        <w:jc w:val="left"/>
        <w:rPr>
          <w:rFonts w:hint="eastAsia" w:ascii="Arial" w:hAnsi="Arial" w:cs="Arial"/>
          <w:color w:val="auto"/>
          <w:kern w:val="0"/>
          <w:szCs w:val="21"/>
          <w:highlight w:val="none"/>
        </w:rPr>
      </w:pPr>
      <w:r>
        <w:rPr>
          <w:rFonts w:hint="eastAsia" w:ascii="Arial" w:hAnsi="Arial" w:cs="Arial"/>
          <w:color w:val="auto"/>
          <w:kern w:val="0"/>
          <w:szCs w:val="21"/>
          <w:highlight w:val="none"/>
        </w:rPr>
        <w:t>（1）</w:t>
      </w:r>
      <w:r>
        <w:rPr>
          <w:rFonts w:ascii="Arial" w:hAnsi="Arial" w:cs="Arial"/>
          <w:color w:val="auto"/>
          <w:kern w:val="0"/>
          <w:szCs w:val="21"/>
          <w:highlight w:val="none"/>
        </w:rPr>
        <w:t>资质要求：</w:t>
      </w:r>
      <w:r>
        <w:rPr>
          <w:rFonts w:hint="eastAsia" w:ascii="Arial" w:hAnsi="Arial" w:cs="Arial"/>
          <w:color w:val="auto"/>
          <w:kern w:val="0"/>
          <w:szCs w:val="21"/>
          <w:highlight w:val="none"/>
        </w:rPr>
        <w:t>供应商取得《广西中药饮片代煎质量管理规范（试行）》要求的认证资格或承诺成交后三个月内能在</w:t>
      </w:r>
      <w:r>
        <w:rPr>
          <w:rFonts w:hint="eastAsia" w:ascii="Arial" w:hAnsi="Arial" w:cs="Arial"/>
          <w:color w:val="auto"/>
          <w:kern w:val="0"/>
          <w:szCs w:val="21"/>
          <w:highlight w:val="none"/>
          <w:lang w:eastAsia="zh-CN"/>
        </w:rPr>
        <w:t>桂林</w:t>
      </w:r>
      <w:r>
        <w:rPr>
          <w:rFonts w:hint="eastAsia" w:ascii="Arial" w:hAnsi="Arial" w:cs="Arial"/>
          <w:color w:val="auto"/>
          <w:kern w:val="0"/>
          <w:szCs w:val="21"/>
          <w:highlight w:val="none"/>
        </w:rPr>
        <w:t>设有代煎服务点并通过《广西中药饮片代煎质量管理规范（试行）》要求的认证资格</w:t>
      </w:r>
      <w:r>
        <w:rPr>
          <w:rFonts w:hint="eastAsia" w:ascii="宋体" w:hAnsi="宋体" w:cs="宋体"/>
          <w:color w:val="auto"/>
          <w:highlight w:val="none"/>
        </w:rPr>
        <w:t>。</w:t>
      </w:r>
    </w:p>
    <w:p>
      <w:pPr>
        <w:spacing w:line="288" w:lineRule="auto"/>
        <w:ind w:firstLine="420" w:firstLineChars="200"/>
        <w:jc w:val="left"/>
        <w:rPr>
          <w:rFonts w:ascii="Arial" w:hAnsi="Arial" w:cs="Arial"/>
          <w:color w:val="auto"/>
          <w:kern w:val="0"/>
          <w:szCs w:val="21"/>
          <w:highlight w:val="none"/>
        </w:rPr>
      </w:pPr>
      <w:r>
        <w:rPr>
          <w:rFonts w:ascii="Arial" w:hAnsi="Arial" w:cs="Arial"/>
          <w:color w:val="auto"/>
          <w:kern w:val="0"/>
          <w:szCs w:val="21"/>
          <w:highlight w:val="none"/>
        </w:rPr>
        <w:t>（2）业绩要求：无。</w:t>
      </w:r>
    </w:p>
    <w:p>
      <w:pPr>
        <w:spacing w:line="312" w:lineRule="auto"/>
        <w:ind w:firstLine="420" w:firstLineChars="200"/>
        <w:jc w:val="left"/>
        <w:rPr>
          <w:color w:val="auto"/>
          <w:kern w:val="0"/>
          <w:szCs w:val="21"/>
          <w:highlight w:val="none"/>
        </w:rPr>
      </w:pPr>
      <w:r>
        <w:rPr>
          <w:rFonts w:hint="eastAsia"/>
          <w:color w:val="auto"/>
          <w:kern w:val="0"/>
          <w:szCs w:val="21"/>
          <w:highlight w:val="none"/>
        </w:rPr>
        <w:t>（</w:t>
      </w:r>
      <w:r>
        <w:rPr>
          <w:color w:val="auto"/>
          <w:kern w:val="0"/>
          <w:szCs w:val="21"/>
          <w:highlight w:val="none"/>
        </w:rPr>
        <w:t>3</w:t>
      </w:r>
      <w:r>
        <w:rPr>
          <w:rFonts w:hint="eastAsia"/>
          <w:color w:val="auto"/>
          <w:kern w:val="0"/>
          <w:szCs w:val="21"/>
          <w:highlight w:val="none"/>
        </w:rPr>
        <w:t>）</w:t>
      </w:r>
      <w:r>
        <w:rPr>
          <w:color w:val="auto"/>
          <w:kern w:val="0"/>
          <w:szCs w:val="21"/>
          <w:highlight w:val="none"/>
        </w:rPr>
        <w:t>单位负责人为同一人或者存在直接控股、管理关系的不同供应商，不得参加本项目同一合同项下的采购活动。为本项目提供整体设计、规范编制或者项目管理、监理、检测等服务的供应商，不得再参加</w:t>
      </w:r>
      <w:r>
        <w:rPr>
          <w:rFonts w:hint="eastAsia"/>
          <w:color w:val="auto"/>
          <w:kern w:val="0"/>
          <w:szCs w:val="21"/>
          <w:highlight w:val="none"/>
        </w:rPr>
        <w:t>本</w:t>
      </w:r>
      <w:r>
        <w:rPr>
          <w:color w:val="auto"/>
          <w:kern w:val="0"/>
          <w:szCs w:val="21"/>
          <w:highlight w:val="none"/>
        </w:rPr>
        <w:t>项目的采购活动</w:t>
      </w:r>
      <w:r>
        <w:rPr>
          <w:rFonts w:hint="eastAsia"/>
          <w:color w:val="auto"/>
          <w:kern w:val="0"/>
          <w:szCs w:val="21"/>
          <w:highlight w:val="none"/>
        </w:rPr>
        <w:t>。</w:t>
      </w:r>
    </w:p>
    <w:p>
      <w:pPr>
        <w:spacing w:line="288" w:lineRule="auto"/>
        <w:ind w:firstLine="420" w:firstLineChars="200"/>
        <w:jc w:val="left"/>
        <w:rPr>
          <w:color w:val="auto"/>
          <w:kern w:val="0"/>
          <w:szCs w:val="21"/>
          <w:highlight w:val="none"/>
        </w:rPr>
      </w:pPr>
      <w:r>
        <w:rPr>
          <w:rFonts w:hint="eastAsia"/>
          <w:color w:val="auto"/>
          <w:kern w:val="0"/>
          <w:szCs w:val="21"/>
          <w:highlight w:val="none"/>
        </w:rPr>
        <w:t>（</w:t>
      </w:r>
      <w:r>
        <w:rPr>
          <w:color w:val="auto"/>
          <w:kern w:val="0"/>
          <w:szCs w:val="21"/>
          <w:highlight w:val="none"/>
        </w:rPr>
        <w:t>4</w:t>
      </w:r>
      <w:r>
        <w:rPr>
          <w:rFonts w:hint="eastAsia"/>
          <w:color w:val="auto"/>
          <w:kern w:val="0"/>
          <w:szCs w:val="21"/>
          <w:highlight w:val="none"/>
        </w:rPr>
        <w:t>）</w:t>
      </w:r>
      <w:r>
        <w:rPr>
          <w:color w:val="auto"/>
          <w:kern w:val="0"/>
          <w:szCs w:val="21"/>
          <w:highlight w:val="none"/>
        </w:rPr>
        <w:t>未被列入失信被执行人、重大税收违法失信主体、政府采购严重违法失信行为记录名单。</w:t>
      </w:r>
    </w:p>
    <w:p>
      <w:pPr>
        <w:spacing w:line="288" w:lineRule="auto"/>
        <w:ind w:firstLine="420" w:firstLineChars="200"/>
        <w:jc w:val="left"/>
        <w:rPr>
          <w:rFonts w:ascii="Arial" w:hAnsi="Arial" w:cs="Arial"/>
          <w:color w:val="auto"/>
          <w:kern w:val="0"/>
          <w:szCs w:val="21"/>
          <w:highlight w:val="none"/>
        </w:rPr>
      </w:pPr>
      <w:r>
        <w:rPr>
          <w:rFonts w:hint="eastAsia"/>
          <w:color w:val="auto"/>
          <w:kern w:val="0"/>
          <w:szCs w:val="21"/>
          <w:highlight w:val="none"/>
        </w:rPr>
        <w:t>（5）</w:t>
      </w:r>
      <w:r>
        <w:rPr>
          <w:color w:val="auto"/>
          <w:kern w:val="0"/>
          <w:szCs w:val="21"/>
          <w:highlight w:val="none"/>
        </w:rPr>
        <w:t>按照</w:t>
      </w:r>
      <w:r>
        <w:rPr>
          <w:rFonts w:hint="eastAsia"/>
          <w:color w:val="auto"/>
          <w:highlight w:val="none"/>
        </w:rPr>
        <w:t>磋商</w:t>
      </w:r>
      <w:r>
        <w:rPr>
          <w:color w:val="auto"/>
          <w:kern w:val="0"/>
          <w:szCs w:val="21"/>
          <w:highlight w:val="none"/>
        </w:rPr>
        <w:t>公告的规定获得</w:t>
      </w:r>
      <w:r>
        <w:rPr>
          <w:rFonts w:hint="eastAsia"/>
          <w:color w:val="auto"/>
          <w:highlight w:val="none"/>
        </w:rPr>
        <w:t>采购文件</w:t>
      </w:r>
      <w:r>
        <w:rPr>
          <w:color w:val="auto"/>
          <w:kern w:val="0"/>
          <w:szCs w:val="21"/>
          <w:highlight w:val="none"/>
        </w:rPr>
        <w:t>。</w:t>
      </w:r>
      <w:r>
        <w:rPr>
          <w:rFonts w:hint="eastAsia"/>
          <w:color w:val="auto"/>
          <w:kern w:val="0"/>
          <w:szCs w:val="21"/>
          <w:highlight w:val="none"/>
        </w:rPr>
        <w:t>采购文件有规定时按要求提交磋商保证金。</w:t>
      </w:r>
    </w:p>
    <w:p>
      <w:pPr>
        <w:spacing w:line="288" w:lineRule="auto"/>
        <w:ind w:firstLine="420" w:firstLineChars="200"/>
        <w:jc w:val="left"/>
        <w:rPr>
          <w:rFonts w:ascii="Arial" w:hAnsi="Arial" w:cs="Arial"/>
          <w:color w:val="auto"/>
          <w:kern w:val="0"/>
          <w:szCs w:val="21"/>
          <w:highlight w:val="none"/>
        </w:rPr>
      </w:pPr>
      <w:r>
        <w:rPr>
          <w:rFonts w:hint="eastAsia" w:ascii="Arial" w:hAnsi="Arial" w:cs="Arial"/>
          <w:color w:val="auto"/>
          <w:kern w:val="0"/>
          <w:szCs w:val="21"/>
          <w:highlight w:val="none"/>
        </w:rPr>
        <w:t>（6）</w:t>
      </w:r>
      <w:r>
        <w:rPr>
          <w:rFonts w:ascii="Arial" w:hAnsi="Arial" w:cs="Arial"/>
          <w:color w:val="auto"/>
          <w:kern w:val="0"/>
          <w:szCs w:val="21"/>
          <w:highlight w:val="none"/>
        </w:rPr>
        <w:t>本项目不接受联合体磋商。</w:t>
      </w:r>
    </w:p>
    <w:p>
      <w:pPr>
        <w:spacing w:before="120" w:line="320" w:lineRule="atLeast"/>
        <w:ind w:firstLine="422" w:firstLineChars="200"/>
        <w:outlineLvl w:val="2"/>
        <w:rPr>
          <w:rFonts w:ascii="Arial" w:hAnsi="Arial" w:cs="Arial"/>
          <w:b/>
          <w:bCs/>
          <w:color w:val="auto"/>
          <w:kern w:val="0"/>
          <w:szCs w:val="21"/>
          <w:highlight w:val="none"/>
        </w:rPr>
      </w:pPr>
      <w:bookmarkStart w:id="51" w:name="_Toc16150"/>
      <w:bookmarkStart w:id="52" w:name="_Toc1988"/>
      <w:bookmarkStart w:id="53" w:name="_Toc4478"/>
      <w:bookmarkStart w:id="54" w:name="_Toc20126"/>
      <w:bookmarkStart w:id="55" w:name="_Toc254970531"/>
      <w:bookmarkStart w:id="56" w:name="_Toc27301"/>
      <w:bookmarkStart w:id="57" w:name="_Toc254970672"/>
      <w:bookmarkStart w:id="58" w:name="_Toc19389"/>
      <w:r>
        <w:rPr>
          <w:rFonts w:ascii="Arial" w:hAnsi="Arial" w:cs="Arial"/>
          <w:b/>
          <w:bCs/>
          <w:color w:val="auto"/>
          <w:kern w:val="0"/>
          <w:szCs w:val="21"/>
          <w:highlight w:val="none"/>
        </w:rPr>
        <w:t>1.4现场踏勘及磋商费用</w:t>
      </w:r>
      <w:bookmarkEnd w:id="51"/>
      <w:bookmarkEnd w:id="52"/>
      <w:bookmarkEnd w:id="53"/>
      <w:bookmarkEnd w:id="54"/>
      <w:bookmarkEnd w:id="55"/>
      <w:bookmarkEnd w:id="56"/>
      <w:bookmarkEnd w:id="57"/>
      <w:bookmarkEnd w:id="58"/>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1.4.1前附表如规定现场踏勘的，供应商应按规定时间地点参加踏勘。</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1.4.2供应商均应自行承担所有与磋商有关的全部费用（磋商文件有相关的规定除外）。</w:t>
      </w:r>
    </w:p>
    <w:p>
      <w:pPr>
        <w:spacing w:before="120" w:line="320" w:lineRule="atLeast"/>
        <w:ind w:firstLine="422" w:firstLineChars="200"/>
        <w:outlineLvl w:val="2"/>
        <w:rPr>
          <w:rFonts w:ascii="Arial" w:hAnsi="Arial" w:cs="Arial"/>
          <w:b/>
          <w:bCs/>
          <w:color w:val="auto"/>
          <w:kern w:val="0"/>
          <w:szCs w:val="21"/>
          <w:highlight w:val="none"/>
        </w:rPr>
      </w:pPr>
      <w:bookmarkStart w:id="59" w:name="_Toc11918"/>
      <w:bookmarkStart w:id="60" w:name="_Toc25385"/>
      <w:bookmarkStart w:id="61" w:name="_Toc6807"/>
      <w:bookmarkStart w:id="62" w:name="_Toc12340"/>
      <w:bookmarkStart w:id="63" w:name="_Toc23915"/>
      <w:bookmarkStart w:id="64" w:name="_Toc3040"/>
      <w:r>
        <w:rPr>
          <w:rFonts w:ascii="Arial" w:hAnsi="Arial" w:cs="Arial"/>
          <w:b/>
          <w:bCs/>
          <w:color w:val="auto"/>
          <w:kern w:val="0"/>
          <w:szCs w:val="21"/>
          <w:highlight w:val="none"/>
        </w:rPr>
        <w:t>1.5转包与分包</w:t>
      </w:r>
      <w:bookmarkEnd w:id="59"/>
      <w:bookmarkEnd w:id="60"/>
      <w:bookmarkEnd w:id="61"/>
      <w:bookmarkEnd w:id="62"/>
      <w:bookmarkEnd w:id="63"/>
      <w:bookmarkEnd w:id="64"/>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1.5.1本项目不允许转包。</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1.5.2本项目不可以分包。</w:t>
      </w:r>
    </w:p>
    <w:p>
      <w:pPr>
        <w:spacing w:before="120" w:line="320" w:lineRule="atLeast"/>
        <w:ind w:firstLine="422" w:firstLineChars="200"/>
        <w:outlineLvl w:val="2"/>
        <w:rPr>
          <w:rFonts w:ascii="Arial" w:hAnsi="Arial" w:cs="Arial"/>
          <w:b/>
          <w:bCs/>
          <w:color w:val="auto"/>
          <w:kern w:val="0"/>
          <w:szCs w:val="21"/>
          <w:highlight w:val="none"/>
        </w:rPr>
      </w:pPr>
      <w:bookmarkStart w:id="65" w:name="_Toc20107"/>
      <w:bookmarkStart w:id="66" w:name="_Toc254970673"/>
      <w:bookmarkStart w:id="67" w:name="_Toc3370"/>
      <w:bookmarkStart w:id="68" w:name="_Toc24212"/>
      <w:bookmarkStart w:id="69" w:name="_Toc19414"/>
      <w:bookmarkStart w:id="70" w:name="_Toc254970532"/>
      <w:bookmarkStart w:id="71" w:name="_Toc21213"/>
      <w:bookmarkStart w:id="72" w:name="_Toc21490"/>
      <w:r>
        <w:rPr>
          <w:rFonts w:ascii="Arial" w:hAnsi="Arial" w:cs="Arial"/>
          <w:b/>
          <w:bCs/>
          <w:color w:val="auto"/>
          <w:kern w:val="0"/>
          <w:szCs w:val="21"/>
          <w:highlight w:val="none"/>
        </w:rPr>
        <w:t>1.6特别说明</w:t>
      </w:r>
      <w:bookmarkEnd w:id="65"/>
      <w:bookmarkEnd w:id="66"/>
      <w:bookmarkEnd w:id="67"/>
      <w:bookmarkEnd w:id="68"/>
      <w:bookmarkEnd w:id="69"/>
      <w:bookmarkEnd w:id="70"/>
      <w:bookmarkEnd w:id="71"/>
      <w:bookmarkEnd w:id="72"/>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1.6.1供应商磋商所使用的采购项目实施人员必须为供应商的正式员工。</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1.6.2供应商应仔细阅读磋商文件的所有内容，按照磋商文件的要求提交响应文件，并对所提供的全部资料的真实性承担法律责任。</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1.6.3供应商在磋商活动中提供任何虚假材料，其响应无效，并报监管部门查处；成交后发现的，成交供应商须依照《中华人民共和国消费者权益保护法》第49条之规定双倍赔偿采购人，且民事赔偿并不免除违法供应商的行政与刑事责任。</w:t>
      </w:r>
    </w:p>
    <w:p>
      <w:pPr>
        <w:spacing w:before="120" w:line="320" w:lineRule="atLeast"/>
        <w:ind w:left="2" w:leftChars="1" w:firstLine="422" w:firstLineChars="200"/>
        <w:outlineLvl w:val="1"/>
        <w:rPr>
          <w:rFonts w:ascii="Arial" w:hAnsi="Arial" w:cs="Arial"/>
          <w:b/>
          <w:bCs/>
          <w:color w:val="auto"/>
          <w:kern w:val="0"/>
          <w:szCs w:val="21"/>
          <w:highlight w:val="none"/>
        </w:rPr>
      </w:pPr>
      <w:bookmarkStart w:id="73" w:name="_Toc1756"/>
      <w:bookmarkStart w:id="74" w:name="_Toc254970534"/>
      <w:bookmarkStart w:id="75" w:name="_Toc8913"/>
      <w:bookmarkStart w:id="76" w:name="_Toc8050"/>
      <w:bookmarkStart w:id="77" w:name="_Toc32133"/>
      <w:bookmarkStart w:id="78" w:name="_Toc254970675"/>
      <w:bookmarkStart w:id="79" w:name="_Toc28217"/>
      <w:bookmarkStart w:id="80" w:name="_Toc10130"/>
      <w:r>
        <w:rPr>
          <w:rFonts w:ascii="Arial" w:hAnsi="Arial" w:cs="Arial"/>
          <w:b/>
          <w:bCs/>
          <w:color w:val="auto"/>
          <w:kern w:val="0"/>
          <w:szCs w:val="21"/>
          <w:highlight w:val="none"/>
        </w:rPr>
        <w:t>2．磋商文件</w:t>
      </w:r>
      <w:bookmarkEnd w:id="73"/>
      <w:bookmarkEnd w:id="74"/>
      <w:bookmarkEnd w:id="75"/>
      <w:bookmarkEnd w:id="76"/>
      <w:bookmarkEnd w:id="77"/>
      <w:bookmarkEnd w:id="78"/>
      <w:bookmarkEnd w:id="79"/>
      <w:bookmarkEnd w:id="80"/>
    </w:p>
    <w:p>
      <w:pPr>
        <w:spacing w:before="120" w:line="320" w:lineRule="atLeast"/>
        <w:ind w:firstLine="422" w:firstLineChars="200"/>
        <w:outlineLvl w:val="2"/>
        <w:rPr>
          <w:rFonts w:ascii="Arial" w:hAnsi="Arial" w:cs="Arial"/>
          <w:b/>
          <w:bCs/>
          <w:color w:val="auto"/>
          <w:kern w:val="0"/>
          <w:szCs w:val="21"/>
          <w:highlight w:val="none"/>
        </w:rPr>
      </w:pPr>
      <w:bookmarkStart w:id="81" w:name="_Toc25546"/>
      <w:bookmarkStart w:id="82" w:name="_Toc11447"/>
      <w:bookmarkStart w:id="83" w:name="_Toc29646"/>
      <w:bookmarkStart w:id="84" w:name="_Toc28505"/>
      <w:bookmarkStart w:id="85" w:name="_Toc28606"/>
      <w:bookmarkStart w:id="86" w:name="_Toc26807"/>
      <w:r>
        <w:rPr>
          <w:rFonts w:ascii="Arial" w:hAnsi="Arial" w:cs="Arial"/>
          <w:b/>
          <w:bCs/>
          <w:color w:val="auto"/>
          <w:kern w:val="0"/>
          <w:szCs w:val="21"/>
          <w:highlight w:val="none"/>
        </w:rPr>
        <w:t>2.1磋商文件的构成</w:t>
      </w:r>
      <w:bookmarkEnd w:id="81"/>
      <w:bookmarkEnd w:id="82"/>
      <w:bookmarkEnd w:id="83"/>
      <w:bookmarkEnd w:id="84"/>
      <w:bookmarkEnd w:id="85"/>
      <w:bookmarkEnd w:id="86"/>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第一章 竞争性磋商公告</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第二章 项目采购需求</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第三章 供应商须知</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第四章 合同格式</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第五章 评审方法及评审标准</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第六章 响应文件格式</w:t>
      </w:r>
    </w:p>
    <w:p>
      <w:pPr>
        <w:spacing w:before="120" w:line="320" w:lineRule="atLeast"/>
        <w:ind w:firstLine="422" w:firstLineChars="200"/>
        <w:outlineLvl w:val="2"/>
        <w:rPr>
          <w:rFonts w:ascii="Arial" w:hAnsi="Arial" w:cs="Arial"/>
          <w:b/>
          <w:bCs/>
          <w:color w:val="auto"/>
          <w:kern w:val="0"/>
          <w:szCs w:val="21"/>
          <w:highlight w:val="none"/>
        </w:rPr>
      </w:pPr>
      <w:bookmarkStart w:id="87" w:name="_Toc11577"/>
      <w:bookmarkStart w:id="88" w:name="_Toc17320"/>
      <w:bookmarkStart w:id="89" w:name="_Toc93"/>
      <w:bookmarkStart w:id="90" w:name="_Toc4740"/>
      <w:bookmarkStart w:id="91" w:name="_Toc10292"/>
      <w:bookmarkStart w:id="92" w:name="_Toc20465"/>
      <w:r>
        <w:rPr>
          <w:rFonts w:ascii="Arial" w:hAnsi="Arial" w:cs="Arial"/>
          <w:b/>
          <w:bCs/>
          <w:color w:val="auto"/>
          <w:kern w:val="0"/>
          <w:szCs w:val="21"/>
          <w:highlight w:val="none"/>
        </w:rPr>
        <w:t>2.2供应商的风险</w:t>
      </w:r>
      <w:bookmarkEnd w:id="87"/>
      <w:bookmarkEnd w:id="88"/>
      <w:bookmarkEnd w:id="89"/>
      <w:bookmarkEnd w:id="90"/>
      <w:bookmarkEnd w:id="91"/>
      <w:bookmarkEnd w:id="92"/>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供应商没有按照磋商文件要求提供全部资料，或者供应商没有对磋商文件在各方面作出实质性响应是供应商的风险，并可能导致其响应被否决。</w:t>
      </w:r>
    </w:p>
    <w:p>
      <w:pPr>
        <w:spacing w:before="120" w:line="320" w:lineRule="atLeast"/>
        <w:ind w:firstLine="422" w:firstLineChars="200"/>
        <w:outlineLvl w:val="2"/>
        <w:rPr>
          <w:rFonts w:ascii="Arial" w:hAnsi="Arial" w:cs="Arial"/>
          <w:b/>
          <w:color w:val="auto"/>
          <w:szCs w:val="21"/>
          <w:highlight w:val="none"/>
        </w:rPr>
      </w:pPr>
      <w:bookmarkStart w:id="93" w:name="_Toc29488"/>
      <w:bookmarkStart w:id="94" w:name="_Toc29428"/>
      <w:bookmarkStart w:id="95" w:name="_Toc11711"/>
      <w:bookmarkStart w:id="96" w:name="_Toc5362"/>
      <w:bookmarkStart w:id="97" w:name="_Toc504"/>
      <w:bookmarkStart w:id="98" w:name="_Toc22817"/>
      <w:r>
        <w:rPr>
          <w:rFonts w:ascii="Arial" w:hAnsi="Arial" w:cs="Arial"/>
          <w:b/>
          <w:bCs/>
          <w:color w:val="auto"/>
          <w:kern w:val="0"/>
          <w:szCs w:val="21"/>
          <w:highlight w:val="none"/>
        </w:rPr>
        <w:t>2.3磋商文件的澄清与修改</w:t>
      </w:r>
      <w:bookmarkEnd w:id="93"/>
      <w:bookmarkEnd w:id="94"/>
      <w:bookmarkEnd w:id="95"/>
      <w:bookmarkEnd w:id="96"/>
      <w:bookmarkEnd w:id="97"/>
      <w:bookmarkEnd w:id="98"/>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2.3.1供应商应认真阅读本磋商文件，供应商如认为磋商文件表述不清晰、存在歧视性、排他性或者其他违法内容的，应当于购买磋商文件之日起3日内，以书面形式要求采购代理机构作出书面解释、澄清或者向采购代理机构提出书面质疑；答疑内容是磋商文件的组成部份。</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2.3.2采购代理机构必须以书面形式答复供应商要求澄清的问题，并将不包含问题来源的答复以“供应商须知前附表”2.3.2规定的形式向所有购买磋商文件的供应商发布。</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2.3.3磋商文件澄清、答复、修改、补充的内容为磋商文件的组成部分。当磋商文件与磋商文件的答复、澄清、修改、补充通知就同一内容的表述不一致时，以最后发出的公告或书面文件为准。</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2.3.4磋商文件的澄清、答复、修改或补充都应该通过本采购代理机构以上述形式发布，采购人非通过本机构，不得擅自澄清、答复、修改或补充磋商文件。</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2.3.5供应商在收到澄清、修改答复后，是否需要确认见“供应商须知前附表”2.3.5的规定。</w:t>
      </w:r>
    </w:p>
    <w:p>
      <w:pPr>
        <w:spacing w:before="120" w:line="320" w:lineRule="atLeast"/>
        <w:ind w:left="2" w:leftChars="1" w:firstLine="422" w:firstLineChars="200"/>
        <w:outlineLvl w:val="1"/>
        <w:rPr>
          <w:rFonts w:ascii="Arial" w:hAnsi="Arial" w:cs="Arial"/>
          <w:b/>
          <w:bCs/>
          <w:color w:val="auto"/>
          <w:kern w:val="0"/>
          <w:szCs w:val="21"/>
          <w:highlight w:val="none"/>
        </w:rPr>
      </w:pPr>
      <w:bookmarkStart w:id="99" w:name="_Toc30599"/>
      <w:bookmarkStart w:id="100" w:name="_Toc11131"/>
      <w:bookmarkStart w:id="101" w:name="_Toc254970535"/>
      <w:bookmarkStart w:id="102" w:name="_Toc20320"/>
      <w:bookmarkStart w:id="103" w:name="_Toc22819"/>
      <w:bookmarkStart w:id="104" w:name="_Toc21267"/>
      <w:bookmarkStart w:id="105" w:name="_Toc254970676"/>
      <w:bookmarkStart w:id="106" w:name="_Toc19308"/>
      <w:r>
        <w:rPr>
          <w:rFonts w:ascii="Arial" w:hAnsi="Arial" w:cs="Arial"/>
          <w:b/>
          <w:bCs/>
          <w:color w:val="auto"/>
          <w:kern w:val="0"/>
          <w:szCs w:val="21"/>
          <w:highlight w:val="none"/>
        </w:rPr>
        <w:t>3．响应文件</w:t>
      </w:r>
      <w:bookmarkEnd w:id="99"/>
      <w:bookmarkEnd w:id="100"/>
      <w:bookmarkEnd w:id="101"/>
      <w:bookmarkEnd w:id="102"/>
      <w:bookmarkEnd w:id="103"/>
      <w:bookmarkEnd w:id="104"/>
      <w:bookmarkEnd w:id="105"/>
      <w:bookmarkEnd w:id="106"/>
    </w:p>
    <w:p>
      <w:pPr>
        <w:spacing w:before="120" w:line="320" w:lineRule="atLeast"/>
        <w:ind w:firstLine="422" w:firstLineChars="200"/>
        <w:outlineLvl w:val="2"/>
        <w:rPr>
          <w:rFonts w:ascii="Arial" w:hAnsi="Arial" w:cs="Arial"/>
          <w:b/>
          <w:bCs/>
          <w:color w:val="auto"/>
          <w:kern w:val="0"/>
          <w:szCs w:val="21"/>
          <w:highlight w:val="none"/>
        </w:rPr>
      </w:pPr>
      <w:bookmarkStart w:id="107" w:name="_Toc254970677"/>
      <w:bookmarkStart w:id="108" w:name="_Toc18187"/>
      <w:bookmarkStart w:id="109" w:name="_Toc254970536"/>
      <w:bookmarkStart w:id="110" w:name="_Toc23223"/>
      <w:bookmarkStart w:id="111" w:name="_Toc14336"/>
      <w:bookmarkStart w:id="112" w:name="_Toc18710"/>
      <w:bookmarkStart w:id="113" w:name="_Toc5174"/>
      <w:bookmarkStart w:id="114" w:name="_Toc14602"/>
      <w:r>
        <w:rPr>
          <w:rFonts w:ascii="Arial" w:hAnsi="Arial" w:cs="Arial"/>
          <w:b/>
          <w:bCs/>
          <w:color w:val="auto"/>
          <w:kern w:val="0"/>
          <w:szCs w:val="21"/>
          <w:highlight w:val="none"/>
        </w:rPr>
        <w:t>3.1响应文件的组成</w:t>
      </w:r>
      <w:bookmarkEnd w:id="107"/>
      <w:bookmarkEnd w:id="108"/>
      <w:bookmarkEnd w:id="109"/>
      <w:bookmarkEnd w:id="110"/>
      <w:bookmarkEnd w:id="111"/>
      <w:bookmarkEnd w:id="112"/>
      <w:bookmarkEnd w:id="113"/>
      <w:bookmarkEnd w:id="114"/>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响应文件由第六章“响应文件格式”规定的部分和供应商所作的一切有效补充、修改和承诺等文件组成，供应商应按照第六章“响应文件格式”规定的目录顺序组织编写和装订，否则有可能影响磋商小组对响应文件的评审甚至导致其磋商被否决。</w:t>
      </w:r>
    </w:p>
    <w:p>
      <w:pPr>
        <w:spacing w:before="120" w:line="320" w:lineRule="atLeast"/>
        <w:ind w:firstLine="422" w:firstLineChars="200"/>
        <w:outlineLvl w:val="2"/>
        <w:rPr>
          <w:rFonts w:ascii="Arial" w:hAnsi="Arial" w:cs="Arial"/>
          <w:b/>
          <w:bCs/>
          <w:color w:val="auto"/>
          <w:kern w:val="0"/>
          <w:szCs w:val="21"/>
          <w:highlight w:val="none"/>
        </w:rPr>
      </w:pPr>
      <w:bookmarkStart w:id="115" w:name="_Toc25007"/>
      <w:bookmarkStart w:id="116" w:name="_Toc254970537"/>
      <w:bookmarkStart w:id="117" w:name="_Toc7108"/>
      <w:bookmarkStart w:id="118" w:name="_Toc10429"/>
      <w:bookmarkStart w:id="119" w:name="_Toc254970678"/>
      <w:bookmarkStart w:id="120" w:name="_Toc3771"/>
      <w:bookmarkStart w:id="121" w:name="_Toc948"/>
      <w:bookmarkStart w:id="122" w:name="_Toc25515"/>
      <w:r>
        <w:rPr>
          <w:rFonts w:ascii="Arial" w:hAnsi="Arial" w:cs="Arial"/>
          <w:b/>
          <w:color w:val="auto"/>
          <w:szCs w:val="21"/>
          <w:highlight w:val="none"/>
        </w:rPr>
        <w:t>3.2</w:t>
      </w:r>
      <w:r>
        <w:rPr>
          <w:rFonts w:ascii="Arial" w:hAnsi="Arial" w:cs="Arial"/>
          <w:b/>
          <w:bCs/>
          <w:color w:val="auto"/>
          <w:kern w:val="0"/>
          <w:szCs w:val="21"/>
          <w:highlight w:val="none"/>
        </w:rPr>
        <w:t>响应文件的语言及计量</w:t>
      </w:r>
      <w:bookmarkEnd w:id="115"/>
      <w:bookmarkEnd w:id="116"/>
      <w:bookmarkEnd w:id="117"/>
      <w:bookmarkEnd w:id="118"/>
      <w:bookmarkEnd w:id="119"/>
      <w:bookmarkEnd w:id="120"/>
      <w:bookmarkEnd w:id="121"/>
      <w:bookmarkEnd w:id="122"/>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3.2.1供应商提交的响应文件以及与磋商小组就有关磋商的所有来往函电，均应以中文汉语书写。除签名、盖章、专用名称等特殊情形外，以中文汉语以外的文字表述的响应文件视同未提供。</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3.2.2计量单位磋商文件已有明确规定的，响应须使用磋商文件规定的计量单位；磋商文件没有规定的，应采用中华人民共和国法定计量单位，否则视为无效响应。</w:t>
      </w:r>
    </w:p>
    <w:p>
      <w:pPr>
        <w:spacing w:before="120" w:line="320" w:lineRule="atLeast"/>
        <w:ind w:firstLine="422" w:firstLineChars="200"/>
        <w:outlineLvl w:val="2"/>
        <w:rPr>
          <w:rFonts w:ascii="Arial" w:hAnsi="Arial" w:cs="Arial"/>
          <w:b/>
          <w:bCs/>
          <w:color w:val="auto"/>
          <w:kern w:val="0"/>
          <w:szCs w:val="21"/>
          <w:highlight w:val="none"/>
        </w:rPr>
      </w:pPr>
      <w:bookmarkStart w:id="123" w:name="_Toc23791"/>
      <w:bookmarkStart w:id="124" w:name="_Toc254970679"/>
      <w:bookmarkStart w:id="125" w:name="_Toc6808"/>
      <w:bookmarkStart w:id="126" w:name="_Toc13422"/>
      <w:bookmarkStart w:id="127" w:name="_Toc6225"/>
      <w:bookmarkStart w:id="128" w:name="_Toc29041"/>
      <w:bookmarkStart w:id="129" w:name="_Toc28828"/>
      <w:bookmarkStart w:id="130" w:name="_Toc254970538"/>
      <w:r>
        <w:rPr>
          <w:rFonts w:ascii="Arial" w:hAnsi="Arial" w:cs="Arial"/>
          <w:b/>
          <w:bCs/>
          <w:color w:val="auto"/>
          <w:kern w:val="0"/>
          <w:szCs w:val="21"/>
          <w:highlight w:val="none"/>
        </w:rPr>
        <w:t>3.3磋商报价</w:t>
      </w:r>
      <w:bookmarkEnd w:id="123"/>
      <w:bookmarkEnd w:id="124"/>
      <w:bookmarkEnd w:id="125"/>
      <w:bookmarkEnd w:id="126"/>
      <w:bookmarkEnd w:id="127"/>
      <w:bookmarkEnd w:id="128"/>
      <w:bookmarkEnd w:id="129"/>
      <w:bookmarkEnd w:id="130"/>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3.3.1磋商报价应按磋商文件中相关附表格式填写。</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3.3.2磋商报价是履行合同的最终价格。应包括第二章“项目采购需求”规定的各项价格，若无规定，则应包括完成本项目服务内容所需的一切税金和费用。</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3.3.3响应文件只允许有一个有效最后报价，有选择的或有条件的最后报价将不予接受。</w:t>
      </w:r>
    </w:p>
    <w:p>
      <w:pPr>
        <w:suppressAutoHyphens/>
        <w:spacing w:before="120" w:line="320" w:lineRule="atLeast"/>
        <w:ind w:firstLine="420" w:firstLineChars="200"/>
        <w:rPr>
          <w:rFonts w:ascii="Arial" w:hAnsi="Arial" w:cs="Arial"/>
          <w:color w:val="auto"/>
          <w:kern w:val="1"/>
          <w:szCs w:val="21"/>
          <w:highlight w:val="none"/>
        </w:rPr>
      </w:pPr>
      <w:r>
        <w:rPr>
          <w:rFonts w:ascii="Arial" w:hAnsi="Arial" w:cs="Arial"/>
          <w:color w:val="auto"/>
          <w:kern w:val="1"/>
          <w:szCs w:val="21"/>
          <w:highlight w:val="none"/>
        </w:rPr>
        <w:t>3.3.4对于本文件中未列明，而供应商认为必需的费用也需列入总报价。在合同实施时，采购人将不予支付成交供应商没有列入的项目费用，并认为此项目的费用已包括在总报价中。</w:t>
      </w:r>
    </w:p>
    <w:p>
      <w:pPr>
        <w:spacing w:before="120" w:line="320" w:lineRule="atLeast"/>
        <w:ind w:firstLine="422" w:firstLineChars="200"/>
        <w:outlineLvl w:val="2"/>
        <w:rPr>
          <w:rFonts w:ascii="Arial" w:hAnsi="Arial" w:cs="Arial"/>
          <w:b/>
          <w:bCs/>
          <w:color w:val="auto"/>
          <w:kern w:val="0"/>
          <w:szCs w:val="21"/>
          <w:highlight w:val="none"/>
        </w:rPr>
      </w:pPr>
      <w:bookmarkStart w:id="131" w:name="_Toc9504"/>
      <w:bookmarkStart w:id="132" w:name="_Toc19097"/>
      <w:bookmarkStart w:id="133" w:name="_Toc15655"/>
      <w:bookmarkStart w:id="134" w:name="_Toc29999"/>
      <w:bookmarkStart w:id="135" w:name="_Toc8109"/>
      <w:bookmarkStart w:id="136" w:name="_Toc15594"/>
      <w:r>
        <w:rPr>
          <w:rFonts w:ascii="Arial" w:hAnsi="Arial" w:cs="Arial"/>
          <w:b/>
          <w:bCs/>
          <w:color w:val="auto"/>
          <w:kern w:val="0"/>
          <w:szCs w:val="21"/>
          <w:highlight w:val="none"/>
        </w:rPr>
        <w:t>3.4磋商有效期</w:t>
      </w:r>
      <w:bookmarkEnd w:id="131"/>
      <w:bookmarkEnd w:id="132"/>
      <w:bookmarkEnd w:id="133"/>
      <w:bookmarkEnd w:id="134"/>
      <w:bookmarkEnd w:id="135"/>
      <w:bookmarkEnd w:id="136"/>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3.4.1在前附表规定的时间内响应文件应保持有效。有效期不足的响应文件将被否决。</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3.4.2在特殊情况下，采购人可与供应商协商延长响应文件的有效期，这种要求和答复均以书面形式进行。</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3.4.3供应商可拒绝接受延期要求而不会导致磋商保证金被没收。同意延长有效期的供应商需要相应延长磋商保证金的有效期，但不能修改响应文件。</w:t>
      </w:r>
    </w:p>
    <w:p>
      <w:pPr>
        <w:spacing w:before="120" w:line="320" w:lineRule="atLeast"/>
        <w:ind w:firstLine="422" w:firstLineChars="200"/>
        <w:outlineLvl w:val="2"/>
        <w:rPr>
          <w:rFonts w:ascii="Arial" w:hAnsi="Arial" w:cs="Arial"/>
          <w:b/>
          <w:bCs/>
          <w:color w:val="auto"/>
          <w:kern w:val="0"/>
          <w:szCs w:val="21"/>
          <w:highlight w:val="none"/>
        </w:rPr>
      </w:pPr>
      <w:bookmarkStart w:id="137" w:name="_Toc2816"/>
      <w:bookmarkStart w:id="138" w:name="_Toc7180"/>
      <w:bookmarkStart w:id="139" w:name="_Toc644"/>
      <w:bookmarkStart w:id="140" w:name="_Toc15454"/>
      <w:bookmarkStart w:id="141" w:name="_Toc254970541"/>
      <w:bookmarkStart w:id="142" w:name="_Toc254970682"/>
      <w:bookmarkStart w:id="143" w:name="_Toc28580"/>
      <w:bookmarkStart w:id="144" w:name="_Toc21935"/>
      <w:r>
        <w:rPr>
          <w:rFonts w:ascii="Arial" w:hAnsi="Arial" w:cs="Arial"/>
          <w:b/>
          <w:bCs/>
          <w:color w:val="auto"/>
          <w:kern w:val="0"/>
          <w:szCs w:val="21"/>
          <w:highlight w:val="none"/>
        </w:rPr>
        <w:t>3.5磋商保证金</w:t>
      </w:r>
      <w:bookmarkEnd w:id="137"/>
      <w:bookmarkEnd w:id="138"/>
      <w:bookmarkEnd w:id="139"/>
      <w:bookmarkEnd w:id="140"/>
      <w:bookmarkEnd w:id="141"/>
      <w:bookmarkEnd w:id="142"/>
      <w:bookmarkEnd w:id="143"/>
      <w:bookmarkEnd w:id="144"/>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3.5.1供应商须按须知前附表规定提交磋商保证金，否则其响应将被否决。除磋商文件规定不予退还保证金的情形外，代理机构在规定时间内退回供应商的磋商保证金（供应商自行承担因未按供应商须知前附表3.5要求交纳导致磋商保证金无法及时退还的责任）。</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3.5.2磋商保证金币种应与磋商报价币种相同。</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3.5.3未成交供应商的磋商保证金在成交通知书发出后5日内退还。</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3.5.4成交供应商应在成交通知书发出后</w:t>
      </w:r>
      <w:r>
        <w:rPr>
          <w:rFonts w:hint="eastAsia" w:ascii="Arial" w:hAnsi="Arial" w:cs="Arial"/>
          <w:color w:val="auto"/>
          <w:szCs w:val="21"/>
          <w:highlight w:val="none"/>
        </w:rPr>
        <w:t>25</w:t>
      </w:r>
      <w:r>
        <w:rPr>
          <w:rFonts w:ascii="Arial" w:hAnsi="Arial" w:cs="Arial"/>
          <w:color w:val="auto"/>
          <w:szCs w:val="21"/>
          <w:highlight w:val="none"/>
        </w:rPr>
        <w:t>日内与采购人签订合同，成交供应商的磋商保证金在合同签订后5日内退还（办理退还手续时需要向采购代理机构提供</w:t>
      </w:r>
      <w:r>
        <w:rPr>
          <w:rFonts w:hint="eastAsia" w:ascii="Arial" w:hAnsi="Arial" w:cs="Arial"/>
          <w:color w:val="auto"/>
          <w:szCs w:val="21"/>
          <w:highlight w:val="none"/>
        </w:rPr>
        <w:t>一</w:t>
      </w:r>
      <w:r>
        <w:rPr>
          <w:rFonts w:ascii="Arial" w:hAnsi="Arial" w:cs="Arial"/>
          <w:color w:val="auto"/>
          <w:szCs w:val="21"/>
          <w:highlight w:val="none"/>
        </w:rPr>
        <w:t>份合同复印件）。</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3.5.5 供应商有下列情形之一的，磋商保证金将不予退还：</w:t>
      </w:r>
    </w:p>
    <w:p>
      <w:pPr>
        <w:numPr>
          <w:ilvl w:val="0"/>
          <w:numId w:val="6"/>
        </w:numPr>
        <w:spacing w:before="120" w:line="320" w:lineRule="atLeast"/>
        <w:rPr>
          <w:rFonts w:ascii="Arial" w:hAnsi="Arial" w:cs="Arial"/>
          <w:color w:val="auto"/>
          <w:szCs w:val="21"/>
          <w:highlight w:val="none"/>
        </w:rPr>
      </w:pPr>
      <w:r>
        <w:rPr>
          <w:rFonts w:ascii="Arial" w:hAnsi="Arial" w:cs="Arial"/>
          <w:color w:val="auto"/>
          <w:szCs w:val="21"/>
          <w:highlight w:val="none"/>
        </w:rPr>
        <w:t>供应商在磋商有效期内撤销响应文件的；</w:t>
      </w:r>
    </w:p>
    <w:p>
      <w:pPr>
        <w:numPr>
          <w:ilvl w:val="0"/>
          <w:numId w:val="6"/>
        </w:numPr>
        <w:spacing w:before="120" w:line="320" w:lineRule="atLeast"/>
        <w:rPr>
          <w:rFonts w:ascii="Arial" w:hAnsi="Arial" w:cs="Arial"/>
          <w:color w:val="auto"/>
          <w:szCs w:val="21"/>
          <w:highlight w:val="none"/>
        </w:rPr>
      </w:pPr>
      <w:r>
        <w:rPr>
          <w:rFonts w:ascii="Arial" w:hAnsi="Arial" w:cs="Arial"/>
          <w:color w:val="auto"/>
          <w:szCs w:val="21"/>
          <w:highlight w:val="none"/>
        </w:rPr>
        <w:t>供应商在磋商过程中弄虚作假，提供虚假材料的；</w:t>
      </w:r>
    </w:p>
    <w:p>
      <w:pPr>
        <w:numPr>
          <w:ilvl w:val="0"/>
          <w:numId w:val="6"/>
        </w:numPr>
        <w:spacing w:before="120" w:line="320" w:lineRule="atLeast"/>
        <w:rPr>
          <w:rFonts w:ascii="Arial" w:hAnsi="Arial" w:cs="Arial"/>
          <w:color w:val="auto"/>
          <w:szCs w:val="21"/>
          <w:highlight w:val="none"/>
        </w:rPr>
      </w:pPr>
      <w:r>
        <w:rPr>
          <w:rFonts w:ascii="Arial" w:hAnsi="Arial" w:cs="Arial"/>
          <w:color w:val="auto"/>
          <w:szCs w:val="21"/>
          <w:highlight w:val="none"/>
        </w:rPr>
        <w:t>成交供应商无正当理由不与采购人签订合同的；</w:t>
      </w:r>
    </w:p>
    <w:p>
      <w:pPr>
        <w:numPr>
          <w:ilvl w:val="0"/>
          <w:numId w:val="6"/>
        </w:numPr>
        <w:spacing w:before="120" w:line="320" w:lineRule="atLeast"/>
        <w:rPr>
          <w:rFonts w:ascii="Arial" w:hAnsi="Arial" w:cs="Arial"/>
          <w:color w:val="auto"/>
          <w:szCs w:val="21"/>
          <w:highlight w:val="none"/>
        </w:rPr>
      </w:pPr>
      <w:r>
        <w:rPr>
          <w:rFonts w:ascii="Arial" w:hAnsi="Arial" w:cs="Arial"/>
          <w:color w:val="auto"/>
          <w:szCs w:val="21"/>
          <w:highlight w:val="none"/>
        </w:rPr>
        <w:t>将成交项目转让给他人或者在响应文件中未说明且未经采购人同意，将成交项目分包给他人的；</w:t>
      </w:r>
    </w:p>
    <w:p>
      <w:pPr>
        <w:numPr>
          <w:ilvl w:val="0"/>
          <w:numId w:val="6"/>
        </w:numPr>
        <w:spacing w:before="120" w:line="320" w:lineRule="atLeast"/>
        <w:rPr>
          <w:rFonts w:ascii="Arial" w:hAnsi="Arial" w:cs="Arial"/>
          <w:color w:val="auto"/>
          <w:szCs w:val="21"/>
          <w:highlight w:val="none"/>
        </w:rPr>
      </w:pPr>
      <w:r>
        <w:rPr>
          <w:rFonts w:ascii="Arial" w:hAnsi="Arial" w:cs="Arial"/>
          <w:color w:val="auto"/>
          <w:szCs w:val="21"/>
          <w:highlight w:val="none"/>
        </w:rPr>
        <w:t>拒绝履行合同义务的；</w:t>
      </w:r>
    </w:p>
    <w:p>
      <w:pPr>
        <w:numPr>
          <w:ilvl w:val="0"/>
          <w:numId w:val="6"/>
        </w:numPr>
        <w:spacing w:before="120" w:line="320" w:lineRule="atLeast"/>
        <w:rPr>
          <w:rFonts w:ascii="Arial" w:hAnsi="Arial" w:cs="Arial"/>
          <w:color w:val="auto"/>
          <w:szCs w:val="21"/>
          <w:highlight w:val="none"/>
        </w:rPr>
      </w:pPr>
      <w:r>
        <w:rPr>
          <w:rFonts w:ascii="Arial" w:hAnsi="Arial" w:cs="Arial"/>
          <w:color w:val="auto"/>
          <w:szCs w:val="21"/>
          <w:highlight w:val="none"/>
        </w:rPr>
        <w:t>其他严重扰乱磋商程序的。</w:t>
      </w:r>
    </w:p>
    <w:p>
      <w:pPr>
        <w:spacing w:before="120" w:line="320" w:lineRule="atLeast"/>
        <w:ind w:firstLine="422" w:firstLineChars="200"/>
        <w:outlineLvl w:val="2"/>
        <w:rPr>
          <w:rFonts w:ascii="Arial" w:hAnsi="Arial" w:cs="Arial"/>
          <w:b/>
          <w:bCs/>
          <w:color w:val="auto"/>
          <w:kern w:val="0"/>
          <w:szCs w:val="21"/>
          <w:highlight w:val="none"/>
        </w:rPr>
      </w:pPr>
      <w:bookmarkStart w:id="145" w:name="_Toc254970542"/>
      <w:bookmarkStart w:id="146" w:name="_Toc254970683"/>
      <w:bookmarkStart w:id="147" w:name="_Toc7043"/>
      <w:bookmarkStart w:id="148" w:name="_Toc20119"/>
      <w:bookmarkStart w:id="149" w:name="_Toc1604"/>
      <w:bookmarkStart w:id="150" w:name="_Toc14990"/>
      <w:bookmarkStart w:id="151" w:name="_Toc5640"/>
      <w:bookmarkStart w:id="152" w:name="_Toc31024"/>
      <w:r>
        <w:rPr>
          <w:rFonts w:ascii="Arial" w:hAnsi="Arial" w:cs="Arial"/>
          <w:b/>
          <w:bCs/>
          <w:color w:val="auto"/>
          <w:kern w:val="0"/>
          <w:szCs w:val="21"/>
          <w:highlight w:val="none"/>
        </w:rPr>
        <w:t>3.6响应文件的</w:t>
      </w:r>
      <w:bookmarkEnd w:id="145"/>
      <w:bookmarkEnd w:id="146"/>
      <w:r>
        <w:rPr>
          <w:rFonts w:ascii="Arial" w:hAnsi="Arial" w:cs="Arial"/>
          <w:b/>
          <w:bCs/>
          <w:color w:val="auto"/>
          <w:kern w:val="0"/>
          <w:szCs w:val="21"/>
          <w:highlight w:val="none"/>
        </w:rPr>
        <w:t>编制要求</w:t>
      </w:r>
      <w:bookmarkEnd w:id="147"/>
      <w:bookmarkEnd w:id="148"/>
      <w:bookmarkEnd w:id="149"/>
      <w:bookmarkEnd w:id="150"/>
      <w:bookmarkEnd w:id="151"/>
      <w:bookmarkEnd w:id="152"/>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3.6.1供应商应按本磋商文件规定的格式和顺序编制、装订响应文件并编制完整的页码、目录，响应文件内容不完整、编排混乱导致响应文件被误读、漏读或者查找不到相关内容导致响应文件被视为无效的后果由供应商自行负责。</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3.6.2供应商应将响应文件以胶装方式装订成册，正副本份数详见前附表规定，响应文件的封面应注明“正本”、“副本”字样。</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3.6.3提交电子版响应文件的要求见“供应商须知前附表”。</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3.6.4响应文件的正本需打印或用不褪色的墨水填写，响应文件正本除本“供应商须知”中规定的可提供复印件外均须提供原件。正本与副本不一致时以正本为准。</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3.6.5响应文件须由供应商在规定位置盖章并由法定代表人或法定代表人的授权委托人签署，供应商应写全称。</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3.6.6响应文件不得涂改，若有修改错漏处，须加盖单位公章或者法定代表人或授权委托人签名或盖章。响应文件因字迹潦草或表达不清所引起的后果由供应商负责。</w:t>
      </w:r>
    </w:p>
    <w:p>
      <w:pPr>
        <w:spacing w:before="120" w:line="320" w:lineRule="atLeast"/>
        <w:ind w:firstLine="422" w:firstLineChars="200"/>
        <w:rPr>
          <w:rFonts w:ascii="Arial" w:hAnsi="Arial" w:cs="Arial"/>
          <w:b/>
          <w:color w:val="auto"/>
          <w:szCs w:val="21"/>
          <w:highlight w:val="none"/>
        </w:rPr>
      </w:pPr>
      <w:r>
        <w:rPr>
          <w:rFonts w:ascii="Arial" w:hAnsi="Arial" w:cs="Arial"/>
          <w:b/>
          <w:color w:val="auto"/>
          <w:szCs w:val="21"/>
          <w:highlight w:val="none"/>
        </w:rPr>
        <w:t>3.7错误修正</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3.7.1响应文件如果出现计算或表达上的错误，修正错误的原则如下：</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（1）响应文件的大写金额和小写金额不一致的，以大写金额为准；</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（2）总价金额与按单价汇总金额不一致的，以单价金额计算结果为准；</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（3）单价金额小数点有明显错位的，应以总价为准，并修正单价；</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（4）对不同文字文本响应文件的解释发生异议的，以中文文本为准。</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3.7.2磋商小组按上述修正错误的原则及方法调整或修正响应文件的响应报价，供应商同意并签字确认后，调整后的响应报价对供应商具有约束作用。如果供应商不接受修正后的报价，则其响应将作为无效响应处理。</w:t>
      </w:r>
    </w:p>
    <w:p>
      <w:pPr>
        <w:spacing w:before="120" w:line="320" w:lineRule="atLeast"/>
        <w:ind w:firstLine="422" w:firstLineChars="200"/>
        <w:outlineLvl w:val="2"/>
        <w:rPr>
          <w:rFonts w:ascii="Arial" w:hAnsi="Arial" w:cs="Arial"/>
          <w:b/>
          <w:bCs/>
          <w:color w:val="auto"/>
          <w:kern w:val="0"/>
          <w:szCs w:val="21"/>
          <w:highlight w:val="none"/>
        </w:rPr>
      </w:pPr>
      <w:bookmarkStart w:id="153" w:name="_Toc23233"/>
      <w:bookmarkStart w:id="154" w:name="_Toc11887"/>
      <w:bookmarkStart w:id="155" w:name="_Toc13632"/>
      <w:bookmarkStart w:id="156" w:name="_Toc27124"/>
      <w:bookmarkStart w:id="157" w:name="_Toc7333"/>
      <w:bookmarkStart w:id="158" w:name="_Toc27185"/>
      <w:r>
        <w:rPr>
          <w:rFonts w:ascii="Arial" w:hAnsi="Arial" w:cs="Arial"/>
          <w:b/>
          <w:bCs/>
          <w:color w:val="auto"/>
          <w:kern w:val="0"/>
          <w:szCs w:val="21"/>
          <w:highlight w:val="none"/>
        </w:rPr>
        <w:t>3.8响应文件的包装、递交、修改和撤回</w:t>
      </w:r>
      <w:bookmarkEnd w:id="153"/>
      <w:bookmarkEnd w:id="154"/>
      <w:bookmarkEnd w:id="155"/>
      <w:bookmarkEnd w:id="156"/>
      <w:bookmarkEnd w:id="157"/>
      <w:bookmarkEnd w:id="158"/>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3.8.1供应商应将响应文件按如下要求进行包装。</w:t>
      </w:r>
    </w:p>
    <w:p>
      <w:pPr>
        <w:spacing w:before="120" w:line="320" w:lineRule="atLeast"/>
        <w:ind w:firstLine="420" w:firstLineChars="200"/>
        <w:rPr>
          <w:rFonts w:hint="eastAsia" w:ascii="Arial" w:hAnsi="Arial" w:cs="Arial"/>
          <w:color w:val="auto"/>
          <w:szCs w:val="21"/>
          <w:highlight w:val="none"/>
        </w:rPr>
      </w:pPr>
      <w:r>
        <w:rPr>
          <w:rFonts w:ascii="Arial" w:hAnsi="Arial" w:cs="Arial"/>
          <w:color w:val="auto"/>
          <w:szCs w:val="21"/>
          <w:highlight w:val="none"/>
        </w:rPr>
        <w:t>（1）纸质版响应文件：不须内包装，封面格式可参考第六章“纸质版响应文件封面格式”。</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（2）电子版响应文件：</w:t>
      </w:r>
      <w:r>
        <w:rPr>
          <w:rFonts w:hint="eastAsia" w:ascii="Arial" w:hAnsi="Arial" w:cs="Arial"/>
          <w:color w:val="auto"/>
          <w:szCs w:val="21"/>
          <w:highlight w:val="none"/>
        </w:rPr>
        <w:t>无要求</w:t>
      </w:r>
      <w:r>
        <w:rPr>
          <w:rFonts w:ascii="Arial" w:hAnsi="Arial" w:cs="Arial"/>
          <w:color w:val="auto"/>
          <w:szCs w:val="21"/>
          <w:highlight w:val="none"/>
        </w:rPr>
        <w:t>。</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（3）外包装：将纸质版正副本响应文件一起装在一个密封袋内，在封贴处密封签章（公章或密封章或法定代表人或其委托代理人签字均可）。密封袋封面格式可参考第六章“响应文件的外包装封面格式”。</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注：上述（2）、（3）均需在密封袋的封面上注明供应商名称、供应商地址、响应文件名称、项目名称、项目编号、分包号</w:t>
      </w:r>
      <w:r>
        <w:rPr>
          <w:rFonts w:hint="eastAsia" w:ascii="Arial" w:hAnsi="Arial" w:cs="Arial"/>
          <w:color w:val="auto"/>
          <w:szCs w:val="21"/>
          <w:highlight w:val="none"/>
        </w:rPr>
        <w:t>、</w:t>
      </w:r>
      <w:r>
        <w:rPr>
          <w:rFonts w:ascii="Arial" w:hAnsi="Arial" w:cs="Arial"/>
          <w:color w:val="auto"/>
          <w:szCs w:val="21"/>
          <w:highlight w:val="none"/>
        </w:rPr>
        <w:t>授权代表姓名、手机号码</w:t>
      </w:r>
      <w:r>
        <w:rPr>
          <w:rFonts w:hint="eastAsia" w:ascii="Arial" w:hAnsi="Arial" w:cs="Arial"/>
          <w:color w:val="auto"/>
          <w:szCs w:val="21"/>
          <w:highlight w:val="none"/>
        </w:rPr>
        <w:t>等</w:t>
      </w:r>
      <w:r>
        <w:rPr>
          <w:rFonts w:ascii="Arial" w:hAnsi="Arial" w:cs="Arial"/>
          <w:color w:val="auto"/>
          <w:szCs w:val="21"/>
          <w:highlight w:val="none"/>
        </w:rPr>
        <w:t>，并加盖供应商公章。</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3.8.2</w:t>
      </w:r>
      <w:r>
        <w:rPr>
          <w:rFonts w:ascii="Arial" w:hAnsi="Arial" w:cs="Arial"/>
          <w:color w:val="auto"/>
          <w:kern w:val="0"/>
          <w:szCs w:val="21"/>
          <w:highlight w:val="none"/>
        </w:rPr>
        <w:t>供应商应于</w:t>
      </w:r>
      <w:r>
        <w:rPr>
          <w:rFonts w:hint="eastAsia" w:ascii="Arial" w:hAnsi="Arial" w:cs="Arial"/>
          <w:color w:val="auto"/>
          <w:kern w:val="0"/>
          <w:szCs w:val="21"/>
          <w:highlight w:val="none"/>
        </w:rPr>
        <w:t>响应文件</w:t>
      </w:r>
      <w:r>
        <w:rPr>
          <w:rFonts w:ascii="Arial" w:hAnsi="Arial" w:cs="Arial"/>
          <w:color w:val="auto"/>
          <w:kern w:val="0"/>
          <w:szCs w:val="21"/>
          <w:highlight w:val="none"/>
        </w:rPr>
        <w:t>递交截止时间前将</w:t>
      </w:r>
      <w:r>
        <w:rPr>
          <w:rFonts w:hint="eastAsia" w:ascii="Arial" w:hAnsi="Arial" w:cs="Arial"/>
          <w:color w:val="auto"/>
          <w:kern w:val="0"/>
          <w:szCs w:val="21"/>
          <w:highlight w:val="none"/>
        </w:rPr>
        <w:t>响应文件</w:t>
      </w:r>
      <w:r>
        <w:rPr>
          <w:rFonts w:ascii="Arial" w:hAnsi="Arial" w:cs="Arial"/>
          <w:color w:val="auto"/>
          <w:kern w:val="0"/>
          <w:szCs w:val="21"/>
          <w:highlight w:val="none"/>
        </w:rPr>
        <w:t>密封并</w:t>
      </w:r>
      <w:r>
        <w:rPr>
          <w:rFonts w:hint="eastAsia" w:ascii="Arial" w:hAnsi="Arial" w:cs="Arial"/>
          <w:color w:val="auto"/>
          <w:kern w:val="0"/>
          <w:szCs w:val="21"/>
          <w:highlight w:val="none"/>
        </w:rPr>
        <w:t>提交</w:t>
      </w:r>
      <w:r>
        <w:rPr>
          <w:rFonts w:ascii="Arial" w:hAnsi="Arial" w:cs="Arial"/>
          <w:color w:val="auto"/>
          <w:kern w:val="0"/>
          <w:szCs w:val="21"/>
          <w:highlight w:val="none"/>
        </w:rPr>
        <w:t>至</w:t>
      </w:r>
      <w:r>
        <w:rPr>
          <w:rFonts w:hint="eastAsia" w:ascii="Arial" w:hAnsi="Arial" w:cs="Arial"/>
          <w:color w:val="auto"/>
          <w:kern w:val="0"/>
          <w:szCs w:val="21"/>
          <w:highlight w:val="none"/>
        </w:rPr>
        <w:t>响应文件</w:t>
      </w:r>
      <w:r>
        <w:rPr>
          <w:rFonts w:ascii="Arial" w:hAnsi="Arial" w:cs="Arial"/>
          <w:color w:val="auto"/>
          <w:kern w:val="0"/>
          <w:szCs w:val="21"/>
          <w:highlight w:val="none"/>
        </w:rPr>
        <w:t>递交截止地点。</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3.8.3供应商在</w:t>
      </w:r>
      <w:r>
        <w:rPr>
          <w:rFonts w:hint="eastAsia" w:ascii="Arial" w:hAnsi="Arial" w:cs="Arial"/>
          <w:color w:val="auto"/>
          <w:szCs w:val="21"/>
          <w:highlight w:val="none"/>
        </w:rPr>
        <w:t>响应文件递交截止时间</w:t>
      </w:r>
      <w:r>
        <w:rPr>
          <w:rFonts w:ascii="Arial" w:hAnsi="Arial" w:cs="Arial"/>
          <w:color w:val="auto"/>
          <w:szCs w:val="21"/>
          <w:highlight w:val="none"/>
        </w:rPr>
        <w:t>之前，可以对已提交的</w:t>
      </w:r>
      <w:r>
        <w:rPr>
          <w:rFonts w:hint="eastAsia" w:ascii="Arial" w:hAnsi="Arial" w:cs="Arial"/>
          <w:color w:val="auto"/>
          <w:szCs w:val="21"/>
          <w:highlight w:val="none"/>
        </w:rPr>
        <w:t>响应</w:t>
      </w:r>
      <w:r>
        <w:rPr>
          <w:rFonts w:ascii="Arial" w:hAnsi="Arial" w:cs="Arial"/>
          <w:color w:val="auto"/>
          <w:szCs w:val="21"/>
          <w:highlight w:val="none"/>
        </w:rPr>
        <w:t>文件进行修改或撤回，撤回或修改</w:t>
      </w:r>
      <w:r>
        <w:rPr>
          <w:rFonts w:hint="eastAsia" w:ascii="Arial" w:hAnsi="Arial" w:cs="Arial"/>
          <w:color w:val="auto"/>
          <w:szCs w:val="21"/>
          <w:highlight w:val="none"/>
        </w:rPr>
        <w:t>响应</w:t>
      </w:r>
      <w:r>
        <w:rPr>
          <w:rFonts w:ascii="Arial" w:hAnsi="Arial" w:cs="Arial"/>
          <w:color w:val="auto"/>
          <w:szCs w:val="21"/>
          <w:highlight w:val="none"/>
        </w:rPr>
        <w:t>文件的通知应由供应商法定代表人或其授权代表签字确认；修改后重新递交的</w:t>
      </w:r>
      <w:r>
        <w:rPr>
          <w:rFonts w:hint="eastAsia" w:ascii="Arial" w:hAnsi="Arial" w:cs="Arial"/>
          <w:color w:val="auto"/>
          <w:szCs w:val="21"/>
          <w:highlight w:val="none"/>
        </w:rPr>
        <w:t>响应</w:t>
      </w:r>
      <w:r>
        <w:rPr>
          <w:rFonts w:ascii="Arial" w:hAnsi="Arial" w:cs="Arial"/>
          <w:color w:val="auto"/>
          <w:szCs w:val="21"/>
          <w:highlight w:val="none"/>
        </w:rPr>
        <w:t>文件应当在封套上标明“修改</w:t>
      </w:r>
      <w:r>
        <w:rPr>
          <w:rFonts w:hint="eastAsia" w:ascii="Arial" w:hAnsi="Arial" w:cs="Arial"/>
          <w:color w:val="auto"/>
          <w:szCs w:val="21"/>
          <w:highlight w:val="none"/>
        </w:rPr>
        <w:t>响应</w:t>
      </w:r>
      <w:r>
        <w:rPr>
          <w:rFonts w:ascii="Arial" w:hAnsi="Arial" w:cs="Arial"/>
          <w:color w:val="auto"/>
          <w:szCs w:val="21"/>
          <w:highlight w:val="none"/>
        </w:rPr>
        <w:t>文件”字样并密封</w:t>
      </w:r>
      <w:r>
        <w:rPr>
          <w:rFonts w:hint="eastAsia" w:ascii="Arial" w:hAnsi="Arial" w:cs="Arial"/>
          <w:color w:val="auto"/>
          <w:szCs w:val="21"/>
          <w:highlight w:val="none"/>
        </w:rPr>
        <w:t>，</w:t>
      </w:r>
      <w:r>
        <w:rPr>
          <w:rFonts w:ascii="Arial" w:hAnsi="Arial" w:cs="Arial"/>
          <w:color w:val="auto"/>
          <w:szCs w:val="21"/>
          <w:highlight w:val="none"/>
        </w:rPr>
        <w:t>在</w:t>
      </w:r>
      <w:r>
        <w:rPr>
          <w:rFonts w:hint="eastAsia" w:ascii="Arial" w:hAnsi="Arial" w:cs="Arial"/>
          <w:color w:val="auto"/>
          <w:szCs w:val="21"/>
          <w:highlight w:val="none"/>
        </w:rPr>
        <w:t>响应文件递交</w:t>
      </w:r>
      <w:r>
        <w:rPr>
          <w:rFonts w:ascii="Arial" w:hAnsi="Arial" w:cs="Arial"/>
          <w:color w:val="auto"/>
          <w:szCs w:val="21"/>
          <w:highlight w:val="none"/>
        </w:rPr>
        <w:t>截止时间前送达，未按要求递交的采购代理机构可以拒收。</w:t>
      </w:r>
    </w:p>
    <w:p>
      <w:pPr>
        <w:spacing w:before="120" w:line="320" w:lineRule="atLeast"/>
        <w:ind w:left="2" w:leftChars="1" w:firstLine="422" w:firstLineChars="200"/>
        <w:outlineLvl w:val="1"/>
        <w:rPr>
          <w:rFonts w:ascii="Arial" w:hAnsi="Arial" w:cs="Arial"/>
          <w:b/>
          <w:bCs/>
          <w:color w:val="auto"/>
          <w:kern w:val="0"/>
          <w:szCs w:val="21"/>
          <w:highlight w:val="none"/>
        </w:rPr>
      </w:pPr>
      <w:bookmarkStart w:id="159" w:name="_Toc254970685"/>
      <w:bookmarkStart w:id="160" w:name="_Toc19887"/>
      <w:bookmarkStart w:id="161" w:name="_Toc13436"/>
      <w:bookmarkStart w:id="162" w:name="_Toc254970544"/>
      <w:bookmarkStart w:id="163" w:name="_Toc17948"/>
      <w:bookmarkStart w:id="164" w:name="_Toc20604"/>
      <w:bookmarkStart w:id="165" w:name="_Toc23605"/>
      <w:bookmarkStart w:id="166" w:name="_Toc22059"/>
      <w:r>
        <w:rPr>
          <w:rFonts w:ascii="Arial" w:hAnsi="Arial" w:cs="Arial"/>
          <w:b/>
          <w:bCs/>
          <w:color w:val="auto"/>
          <w:kern w:val="0"/>
          <w:szCs w:val="21"/>
          <w:highlight w:val="none"/>
        </w:rPr>
        <w:t>4．截标</w:t>
      </w:r>
      <w:bookmarkEnd w:id="159"/>
      <w:bookmarkEnd w:id="160"/>
      <w:bookmarkEnd w:id="161"/>
      <w:bookmarkEnd w:id="162"/>
      <w:bookmarkEnd w:id="163"/>
      <w:bookmarkEnd w:id="164"/>
      <w:bookmarkEnd w:id="165"/>
      <w:bookmarkEnd w:id="166"/>
    </w:p>
    <w:p>
      <w:pPr>
        <w:spacing w:before="120" w:line="320" w:lineRule="atLeast"/>
        <w:ind w:firstLine="422" w:firstLineChars="200"/>
        <w:outlineLvl w:val="2"/>
        <w:rPr>
          <w:rFonts w:hint="eastAsia" w:ascii="Arial" w:hAnsi="Arial" w:cs="Arial"/>
          <w:b/>
          <w:bCs/>
          <w:color w:val="auto"/>
          <w:kern w:val="0"/>
          <w:szCs w:val="21"/>
          <w:highlight w:val="none"/>
        </w:rPr>
      </w:pPr>
      <w:bookmarkStart w:id="167" w:name="_Toc5143"/>
      <w:bookmarkStart w:id="168" w:name="_Toc11585"/>
      <w:bookmarkStart w:id="169" w:name="_Toc21102"/>
      <w:bookmarkStart w:id="170" w:name="_Toc342"/>
      <w:bookmarkStart w:id="171" w:name="_Toc20182"/>
      <w:bookmarkStart w:id="172" w:name="_Toc214"/>
      <w:r>
        <w:rPr>
          <w:rFonts w:ascii="Arial" w:hAnsi="Arial" w:cs="Arial"/>
          <w:b/>
          <w:bCs/>
          <w:color w:val="auto"/>
          <w:kern w:val="0"/>
          <w:szCs w:val="21"/>
          <w:highlight w:val="none"/>
        </w:rPr>
        <w:t>4.1截标</w:t>
      </w:r>
      <w:bookmarkEnd w:id="167"/>
      <w:bookmarkEnd w:id="168"/>
      <w:bookmarkEnd w:id="169"/>
      <w:bookmarkEnd w:id="170"/>
      <w:r>
        <w:rPr>
          <w:rFonts w:hint="eastAsia" w:ascii="Arial" w:hAnsi="Arial" w:cs="Arial"/>
          <w:b/>
          <w:bCs/>
          <w:color w:val="auto"/>
          <w:kern w:val="0"/>
          <w:szCs w:val="21"/>
          <w:highlight w:val="none"/>
        </w:rPr>
        <w:t>会议</w:t>
      </w:r>
      <w:bookmarkEnd w:id="171"/>
      <w:bookmarkEnd w:id="172"/>
    </w:p>
    <w:p>
      <w:pPr>
        <w:spacing w:before="120" w:line="320" w:lineRule="atLeast"/>
        <w:ind w:firstLine="420" w:firstLineChars="200"/>
        <w:rPr>
          <w:rFonts w:ascii="Arial" w:hAnsi="Arial" w:cs="Arial"/>
          <w:color w:val="auto"/>
          <w:szCs w:val="21"/>
          <w:highlight w:val="none"/>
        </w:rPr>
      </w:pPr>
      <w:r>
        <w:rPr>
          <w:rFonts w:hint="eastAsia" w:ascii="Arial" w:hAnsi="Arial" w:cs="Arial"/>
          <w:color w:val="auto"/>
          <w:szCs w:val="21"/>
          <w:highlight w:val="none"/>
        </w:rPr>
        <w:t>（</w:t>
      </w:r>
      <w:r>
        <w:rPr>
          <w:rFonts w:ascii="Arial" w:hAnsi="Arial" w:cs="Arial"/>
          <w:color w:val="auto"/>
          <w:szCs w:val="21"/>
          <w:highlight w:val="none"/>
        </w:rPr>
        <w:t>1</w:t>
      </w:r>
      <w:r>
        <w:rPr>
          <w:rFonts w:hint="eastAsia" w:ascii="Arial" w:hAnsi="Arial" w:cs="Arial"/>
          <w:color w:val="auto"/>
          <w:szCs w:val="21"/>
          <w:highlight w:val="none"/>
        </w:rPr>
        <w:t>）参加方式：现场参加</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（2）参加人员要求：</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①供应商派授权代表参加的，采购人或采购代理机构将核对授权代表身份证原件与法定代表人授权委托书上授权代表姓名是否一致，授权委托书格式见第六章；法定代表人参加的，采购人或采购代理机构将核对法定代表人身份证原件与法定代表人身份证明原件上姓名是否一致，法人身份证明格式见第六章。如姓名不一致的或未按要求签字加盖公章的，将被拒绝参加截标会议并不得对截标结果提出异议。被拒绝参加截标会议的人员所递交的纸质响应文件符合磋商文件要求的，文件予以接收。</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②供应商到现场参加会议的，须携带个人专用的签字笔等文具，全程佩戴口罩。参加前应按采购代理机构疫情防控要求如实登记信息，如有不实信息，采购代理机构将报送有关防控部门。同时请参会人员注意执行截标会议地点有关隔离等疫情防控措施的规定，如因被隔离导致无法投标的责任自行负责。</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（3）截标程序：</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①宣布截标；宣读开标纪律；宣布唱标人、记录人、监标人等有关人员名单；如有授权代表到现场参加截标会议，由采购人或采购代理机构检查授权代表的资格证件（包括身份证原件、授权委托书）。</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②公布截标前递交响应文件的供应商名单。</w:t>
      </w:r>
    </w:p>
    <w:p>
      <w:pPr>
        <w:spacing w:before="120" w:line="320" w:lineRule="atLeast"/>
        <w:ind w:firstLine="422" w:firstLineChars="200"/>
        <w:outlineLvl w:val="2"/>
        <w:rPr>
          <w:rFonts w:ascii="Arial" w:hAnsi="Arial" w:cs="Arial"/>
          <w:b/>
          <w:bCs/>
          <w:color w:val="auto"/>
          <w:kern w:val="0"/>
          <w:szCs w:val="21"/>
          <w:highlight w:val="none"/>
        </w:rPr>
      </w:pPr>
      <w:bookmarkStart w:id="173" w:name="_Toc8772"/>
      <w:bookmarkStart w:id="174" w:name="_Toc29813"/>
      <w:bookmarkStart w:id="175" w:name="_Toc27513"/>
      <w:bookmarkStart w:id="176" w:name="_Toc15678"/>
      <w:bookmarkStart w:id="177" w:name="_Toc22182"/>
      <w:bookmarkStart w:id="178" w:name="_Toc7423"/>
      <w:r>
        <w:rPr>
          <w:rFonts w:ascii="Arial" w:hAnsi="Arial" w:cs="Arial"/>
          <w:b/>
          <w:bCs/>
          <w:color w:val="auto"/>
          <w:kern w:val="0"/>
          <w:szCs w:val="21"/>
          <w:highlight w:val="none"/>
        </w:rPr>
        <w:t>4.2截标程序</w:t>
      </w:r>
      <w:bookmarkEnd w:id="173"/>
      <w:bookmarkEnd w:id="174"/>
      <w:bookmarkEnd w:id="175"/>
      <w:bookmarkEnd w:id="176"/>
      <w:bookmarkEnd w:id="177"/>
      <w:bookmarkEnd w:id="178"/>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4.2.1截标会议结束。</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磋商顺序：按实际评审情况。</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磋商代表：</w:t>
      </w:r>
      <w:r>
        <w:rPr>
          <w:rFonts w:hint="eastAsia" w:ascii="Arial" w:hAnsi="Arial" w:cs="Arial"/>
          <w:bCs/>
          <w:color w:val="auto"/>
          <w:szCs w:val="21"/>
          <w:highlight w:val="none"/>
        </w:rPr>
        <w:t>响应文件中的授权代表还可另行准备一份法定代表人授权委托书（除响应文件中附有外），磋商代表在参加磋商时与身份证一同接受核对（法定代表人直接参加磋商的提供法定代表人身份证明）。</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4.2.2磋商具体程序：</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采购代理机构将在指定的时间及地点组织磋商。磋商过程中，磋商小组可以根据磋商文件和磋商情况实质性变动采购需求中的技术、服务要求以及合同草案条款，但不得变动磋商文件中的其他内容。实质性变动的内容，须经采购人代表确认。磋商程序如下：</w:t>
      </w:r>
    </w:p>
    <w:p>
      <w:pPr>
        <w:spacing w:line="300" w:lineRule="exact"/>
        <w:jc w:val="left"/>
        <w:rPr>
          <w:rFonts w:hint="eastAsia" w:ascii="Arial" w:hAnsi="Arial" w:cs="Arial"/>
          <w:bCs/>
          <w:color w:val="auto"/>
          <w:szCs w:val="21"/>
          <w:highlight w:val="none"/>
        </w:rPr>
      </w:pPr>
      <w:r>
        <w:rPr>
          <w:rFonts w:hint="eastAsia" w:ascii="Arial" w:hAnsi="Arial" w:cs="Arial"/>
          <w:bCs/>
          <w:color w:val="auto"/>
          <w:szCs w:val="21"/>
          <w:highlight w:val="none"/>
        </w:rPr>
        <w:t>（1）磋商小组将根据供应商的响应文件、陈述含混模糊之处或需要进一步了解的细节对供应商提出问题，供应商的授权代表（或法定代表人）必须进行回答。供应商的法定代表人或其授权代表须到现场参加磋商，具体以提问时规定的方式为准。</w:t>
      </w:r>
    </w:p>
    <w:p>
      <w:pPr>
        <w:spacing w:line="300" w:lineRule="exact"/>
        <w:jc w:val="left"/>
        <w:rPr>
          <w:rFonts w:hint="eastAsia" w:ascii="Arial" w:hAnsi="Arial" w:cs="Arial"/>
          <w:bCs/>
          <w:color w:val="auto"/>
          <w:szCs w:val="21"/>
          <w:highlight w:val="none"/>
        </w:rPr>
      </w:pPr>
      <w:r>
        <w:rPr>
          <w:rFonts w:hint="eastAsia" w:ascii="Arial" w:hAnsi="Arial" w:cs="Arial"/>
          <w:bCs/>
          <w:color w:val="auto"/>
          <w:szCs w:val="21"/>
          <w:highlight w:val="none"/>
        </w:rPr>
        <w:t>（2）第一轮磋商结束后，磋商小组进行合议。根据第一轮磋商掌握的情况，可以对磋商文件进行修改，确定采购内容的详细规格或具体要求，优化采购方案。</w:t>
      </w:r>
    </w:p>
    <w:p>
      <w:pPr>
        <w:spacing w:line="300" w:lineRule="exact"/>
        <w:jc w:val="left"/>
        <w:rPr>
          <w:rFonts w:hint="eastAsia" w:ascii="Arial" w:hAnsi="Arial" w:cs="Arial"/>
          <w:bCs/>
          <w:color w:val="auto"/>
          <w:szCs w:val="21"/>
          <w:highlight w:val="none"/>
        </w:rPr>
      </w:pPr>
      <w:r>
        <w:rPr>
          <w:rFonts w:hint="eastAsia" w:ascii="Arial" w:hAnsi="Arial" w:cs="Arial"/>
          <w:bCs/>
          <w:color w:val="auto"/>
          <w:szCs w:val="21"/>
          <w:highlight w:val="none"/>
        </w:rPr>
        <w:t>（3）采购代理机构通知所有参加磋商的供应商关于磋商小组调整后的采购要求（如有），并以书面方式告知供应商，给予供应商提供较充分的修正时间。对磋商文件作出的实质性变动是磋商文件的有效组成部分。</w:t>
      </w:r>
    </w:p>
    <w:p>
      <w:pPr>
        <w:spacing w:line="300" w:lineRule="exact"/>
        <w:jc w:val="left"/>
        <w:rPr>
          <w:rFonts w:hint="eastAsia" w:ascii="Arial" w:hAnsi="Arial" w:cs="Arial"/>
          <w:bCs/>
          <w:color w:val="auto"/>
          <w:szCs w:val="21"/>
          <w:highlight w:val="none"/>
        </w:rPr>
      </w:pPr>
      <w:r>
        <w:rPr>
          <w:rFonts w:hint="eastAsia" w:ascii="Arial" w:hAnsi="Arial" w:cs="Arial"/>
          <w:bCs/>
          <w:color w:val="auto"/>
          <w:szCs w:val="21"/>
          <w:highlight w:val="none"/>
        </w:rPr>
        <w:t>（4）供应商根据第一轮磋商情况和磋商文件修改书面通知，对原响应文件进行修改，经签字确认后以书面方式提交至采购代理机构。逾时不交的，视同放弃磋商。修正文件与响应文件同具法律效力。</w:t>
      </w:r>
    </w:p>
    <w:p>
      <w:pPr>
        <w:spacing w:line="300" w:lineRule="exact"/>
        <w:jc w:val="left"/>
        <w:rPr>
          <w:rFonts w:hint="eastAsia" w:ascii="Arial" w:hAnsi="Arial" w:cs="Arial"/>
          <w:bCs/>
          <w:color w:val="auto"/>
          <w:szCs w:val="21"/>
          <w:highlight w:val="none"/>
        </w:rPr>
      </w:pPr>
      <w:r>
        <w:rPr>
          <w:rFonts w:hint="eastAsia" w:ascii="Arial" w:hAnsi="Arial" w:cs="Arial"/>
          <w:bCs/>
          <w:color w:val="auto"/>
          <w:szCs w:val="21"/>
          <w:highlight w:val="none"/>
        </w:rPr>
        <w:t>（5）重新磋商：双方对修改后的应答文件进行磋商，直至达成磋商结果。磋商小组成员经评议后，根据磋商情况，可以要求供应商进行多次报价。</w:t>
      </w:r>
    </w:p>
    <w:p>
      <w:pPr>
        <w:spacing w:line="300" w:lineRule="exact"/>
        <w:jc w:val="left"/>
        <w:rPr>
          <w:rFonts w:hint="eastAsia" w:ascii="Arial" w:hAnsi="Arial" w:cs="Arial"/>
          <w:bCs/>
          <w:color w:val="auto"/>
          <w:szCs w:val="21"/>
          <w:highlight w:val="none"/>
        </w:rPr>
      </w:pPr>
      <w:r>
        <w:rPr>
          <w:rFonts w:hint="eastAsia" w:ascii="Arial" w:hAnsi="Arial" w:cs="Arial"/>
          <w:bCs/>
          <w:color w:val="auto"/>
          <w:szCs w:val="21"/>
          <w:highlight w:val="none"/>
        </w:rPr>
        <w:t>（6）最终报价：最终报价采取书面报价方式。</w:t>
      </w:r>
    </w:p>
    <w:p>
      <w:pPr>
        <w:spacing w:line="300" w:lineRule="exact"/>
        <w:jc w:val="left"/>
        <w:rPr>
          <w:rFonts w:hint="eastAsia" w:ascii="Arial" w:hAnsi="Arial" w:cs="Arial"/>
          <w:bCs/>
          <w:color w:val="auto"/>
          <w:szCs w:val="21"/>
          <w:highlight w:val="none"/>
        </w:rPr>
      </w:pPr>
      <w:r>
        <w:rPr>
          <w:rFonts w:hint="eastAsia" w:ascii="Arial" w:hAnsi="Arial" w:cs="Arial"/>
          <w:bCs/>
          <w:color w:val="auto"/>
          <w:szCs w:val="21"/>
          <w:highlight w:val="none"/>
        </w:rPr>
        <w:t>（7）已提交响应文件的供应商，在提交最后报价之前，可以根据磋商情况退出磋商。退出磋商的须经签字确认后以书面方式提交至采购代理机构。磋商小组在评审报告中注明退出磋商的供应商名单。采购人、采购代理机构应当退还退出磋商的供应商的磋商保证金。</w:t>
      </w:r>
    </w:p>
    <w:p>
      <w:pPr>
        <w:spacing w:line="300" w:lineRule="exact"/>
        <w:jc w:val="left"/>
        <w:rPr>
          <w:rFonts w:hint="eastAsia" w:ascii="Arial" w:hAnsi="Arial" w:cs="Arial"/>
          <w:bCs/>
          <w:color w:val="auto"/>
          <w:szCs w:val="21"/>
          <w:highlight w:val="none"/>
        </w:rPr>
      </w:pPr>
      <w:r>
        <w:rPr>
          <w:rFonts w:hint="eastAsia" w:ascii="Arial" w:hAnsi="Arial" w:cs="Arial"/>
          <w:bCs/>
          <w:color w:val="auto"/>
          <w:szCs w:val="21"/>
          <w:highlight w:val="none"/>
        </w:rPr>
        <w:t>（8）磋商达成。磋商的结果以书面为准，经供应商和磋商小组代表确认后，替代磋商文件或响应文件中相应的内容，并作为构成响应文件的一部分和作为评审的依据。如成交，则作为合同、履约等的组成部份。</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4.2.3磋商时间：评审过程中由采购代理机构提前通过电话通知</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4.2.4磋商小组在磋商中可能实质性变动的内容：采购需求中的技术、服务要求以及合同草案条款。</w:t>
      </w:r>
    </w:p>
    <w:p>
      <w:pPr>
        <w:spacing w:before="120" w:line="320" w:lineRule="atLeast"/>
        <w:ind w:firstLine="420" w:firstLineChars="200"/>
        <w:rPr>
          <w:rFonts w:hint="eastAsia" w:ascii="Arial" w:hAnsi="Arial" w:cs="Arial"/>
          <w:color w:val="auto"/>
          <w:szCs w:val="21"/>
          <w:highlight w:val="none"/>
        </w:rPr>
      </w:pPr>
      <w:r>
        <w:rPr>
          <w:rFonts w:hint="eastAsia" w:ascii="Arial" w:hAnsi="Arial" w:cs="Arial"/>
          <w:color w:val="auto"/>
          <w:szCs w:val="21"/>
          <w:highlight w:val="none"/>
        </w:rPr>
        <w:t>4.2.5本项目所有响应文件的首次报价及所有磋商报价均不公布。</w:t>
      </w:r>
    </w:p>
    <w:p>
      <w:pPr>
        <w:spacing w:before="120" w:line="320" w:lineRule="atLeast"/>
        <w:ind w:firstLine="422" w:firstLineChars="200"/>
        <w:outlineLvl w:val="2"/>
        <w:rPr>
          <w:rFonts w:ascii="Arial" w:hAnsi="Arial" w:cs="Arial"/>
          <w:b/>
          <w:bCs/>
          <w:color w:val="auto"/>
          <w:kern w:val="0"/>
          <w:szCs w:val="21"/>
          <w:highlight w:val="none"/>
        </w:rPr>
      </w:pPr>
      <w:bookmarkStart w:id="179" w:name="_Toc4766"/>
      <w:bookmarkStart w:id="180" w:name="_Toc2616"/>
      <w:bookmarkStart w:id="181" w:name="_Toc24413"/>
      <w:r>
        <w:rPr>
          <w:rFonts w:ascii="Arial" w:hAnsi="Arial" w:cs="Arial"/>
          <w:b/>
          <w:bCs/>
          <w:color w:val="auto"/>
          <w:kern w:val="0"/>
          <w:szCs w:val="21"/>
          <w:highlight w:val="none"/>
        </w:rPr>
        <w:t>4.3样品</w:t>
      </w:r>
      <w:bookmarkEnd w:id="179"/>
      <w:bookmarkEnd w:id="180"/>
      <w:bookmarkEnd w:id="181"/>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4.3.1“供应商须知前附表”规定递交样品的，供应商应按前附表规定递交样品，递交样品时应附样品递交表（格式见第六章）。</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4.3.2未按规定时间递交样品可能引起的样品分数被计为0分或响应无效等后果由供应商自行承担。</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4.3.3样品封存或退还的说明请见第六章响应文件格式所附样品递交表。</w:t>
      </w:r>
    </w:p>
    <w:p>
      <w:pPr>
        <w:spacing w:before="120" w:line="320" w:lineRule="atLeast"/>
        <w:ind w:left="2" w:leftChars="1" w:firstLine="422" w:firstLineChars="200"/>
        <w:outlineLvl w:val="1"/>
        <w:rPr>
          <w:rFonts w:ascii="Arial" w:hAnsi="Arial" w:cs="Arial"/>
          <w:b/>
          <w:bCs/>
          <w:color w:val="auto"/>
          <w:kern w:val="0"/>
          <w:szCs w:val="21"/>
          <w:highlight w:val="none"/>
        </w:rPr>
      </w:pPr>
      <w:bookmarkStart w:id="182" w:name="_Toc254970686"/>
      <w:bookmarkStart w:id="183" w:name="_Toc254970545"/>
      <w:bookmarkStart w:id="184" w:name="_Toc27584"/>
      <w:bookmarkStart w:id="185" w:name="_Toc13928"/>
      <w:bookmarkStart w:id="186" w:name="_Toc27811"/>
      <w:bookmarkStart w:id="187" w:name="_Toc24517"/>
      <w:bookmarkStart w:id="188" w:name="_Toc12920"/>
      <w:bookmarkStart w:id="189" w:name="_Toc12782"/>
      <w:r>
        <w:rPr>
          <w:rFonts w:ascii="Arial" w:hAnsi="Arial" w:cs="Arial"/>
          <w:b/>
          <w:bCs/>
          <w:color w:val="auto"/>
          <w:kern w:val="0"/>
          <w:szCs w:val="21"/>
          <w:highlight w:val="none"/>
        </w:rPr>
        <w:t>5．</w:t>
      </w:r>
      <w:bookmarkEnd w:id="182"/>
      <w:bookmarkEnd w:id="183"/>
      <w:r>
        <w:rPr>
          <w:rFonts w:ascii="Arial" w:hAnsi="Arial" w:cs="Arial"/>
          <w:b/>
          <w:bCs/>
          <w:color w:val="auto"/>
          <w:kern w:val="0"/>
          <w:szCs w:val="21"/>
          <w:highlight w:val="none"/>
        </w:rPr>
        <w:t>评审及磋商</w:t>
      </w:r>
      <w:bookmarkEnd w:id="184"/>
      <w:bookmarkEnd w:id="185"/>
      <w:bookmarkEnd w:id="186"/>
      <w:bookmarkEnd w:id="187"/>
      <w:bookmarkEnd w:id="188"/>
      <w:bookmarkEnd w:id="189"/>
    </w:p>
    <w:p>
      <w:pPr>
        <w:spacing w:before="120" w:line="320" w:lineRule="atLeast"/>
        <w:ind w:firstLine="422" w:firstLineChars="200"/>
        <w:outlineLvl w:val="2"/>
        <w:rPr>
          <w:rFonts w:ascii="Arial" w:hAnsi="Arial" w:cs="Arial"/>
          <w:b/>
          <w:bCs/>
          <w:color w:val="auto"/>
          <w:kern w:val="0"/>
          <w:szCs w:val="21"/>
          <w:highlight w:val="none"/>
        </w:rPr>
      </w:pPr>
      <w:bookmarkStart w:id="190" w:name="_Toc29485"/>
      <w:bookmarkStart w:id="191" w:name="_Toc30427"/>
      <w:bookmarkStart w:id="192" w:name="_Toc2395"/>
      <w:bookmarkStart w:id="193" w:name="_Toc32021"/>
      <w:bookmarkStart w:id="194" w:name="_Toc18267"/>
      <w:bookmarkStart w:id="195" w:name="_Toc11047"/>
      <w:r>
        <w:rPr>
          <w:rFonts w:ascii="Arial" w:hAnsi="Arial" w:cs="Arial"/>
          <w:b/>
          <w:bCs/>
          <w:color w:val="auto"/>
          <w:kern w:val="0"/>
          <w:szCs w:val="21"/>
          <w:highlight w:val="none"/>
        </w:rPr>
        <w:t>5.1组建磋商小组</w:t>
      </w:r>
      <w:bookmarkEnd w:id="190"/>
      <w:bookmarkEnd w:id="191"/>
      <w:bookmarkEnd w:id="192"/>
      <w:bookmarkEnd w:id="193"/>
      <w:bookmarkEnd w:id="194"/>
      <w:bookmarkEnd w:id="195"/>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本项目竞争性磋商小组由采购评审专家和采购人代表组成。磋商小组必须公平、公正、客观，不带任何倾向性和启发性；不得向外界透露任何与评审有关的内容；任何单位和个人不得干扰、影响评审的正常进行；磋商小组及有关工作人员不得私下与供应商接触。评审专家发现本人与参加采购活动的供应商有利害关系的，应当主动提出回避。</w:t>
      </w:r>
    </w:p>
    <w:p>
      <w:pPr>
        <w:spacing w:before="120" w:line="320" w:lineRule="atLeast"/>
        <w:ind w:firstLine="422" w:firstLineChars="200"/>
        <w:outlineLvl w:val="2"/>
        <w:rPr>
          <w:rFonts w:ascii="Arial" w:hAnsi="Arial" w:cs="Arial"/>
          <w:b/>
          <w:bCs/>
          <w:color w:val="auto"/>
          <w:kern w:val="0"/>
          <w:szCs w:val="21"/>
          <w:highlight w:val="none"/>
        </w:rPr>
      </w:pPr>
      <w:bookmarkStart w:id="196" w:name="_Toc4294"/>
      <w:bookmarkStart w:id="197" w:name="_Toc29829"/>
      <w:bookmarkStart w:id="198" w:name="_Toc18644"/>
      <w:bookmarkStart w:id="199" w:name="_Toc9023"/>
      <w:bookmarkStart w:id="200" w:name="_Toc2081"/>
      <w:bookmarkStart w:id="201" w:name="_Toc420"/>
      <w:r>
        <w:rPr>
          <w:rFonts w:ascii="Arial" w:hAnsi="Arial" w:cs="Arial"/>
          <w:b/>
          <w:bCs/>
          <w:color w:val="auto"/>
          <w:kern w:val="0"/>
          <w:szCs w:val="21"/>
          <w:highlight w:val="none"/>
        </w:rPr>
        <w:t>5.2评审方式</w:t>
      </w:r>
      <w:bookmarkEnd w:id="196"/>
      <w:bookmarkEnd w:id="197"/>
      <w:bookmarkEnd w:id="198"/>
      <w:bookmarkEnd w:id="199"/>
      <w:bookmarkEnd w:id="200"/>
      <w:bookmarkEnd w:id="201"/>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本项目采用不公开方式评审。</w:t>
      </w:r>
    </w:p>
    <w:p>
      <w:pPr>
        <w:spacing w:before="120" w:line="320" w:lineRule="atLeast"/>
        <w:ind w:firstLine="422" w:firstLineChars="200"/>
        <w:outlineLvl w:val="2"/>
        <w:rPr>
          <w:rFonts w:ascii="Arial" w:hAnsi="Arial" w:cs="Arial"/>
          <w:b/>
          <w:bCs/>
          <w:color w:val="auto"/>
          <w:kern w:val="0"/>
          <w:szCs w:val="21"/>
          <w:highlight w:val="none"/>
        </w:rPr>
      </w:pPr>
      <w:bookmarkStart w:id="202" w:name="_Toc2949"/>
      <w:bookmarkStart w:id="203" w:name="_Toc29740"/>
      <w:bookmarkStart w:id="204" w:name="_Toc281"/>
      <w:bookmarkStart w:id="205" w:name="_Toc17702"/>
      <w:bookmarkStart w:id="206" w:name="_Toc19443"/>
      <w:bookmarkStart w:id="207" w:name="_Toc20289"/>
      <w:r>
        <w:rPr>
          <w:rFonts w:ascii="Arial" w:hAnsi="Arial" w:cs="Arial"/>
          <w:b/>
          <w:bCs/>
          <w:color w:val="auto"/>
          <w:kern w:val="0"/>
          <w:szCs w:val="21"/>
          <w:highlight w:val="none"/>
        </w:rPr>
        <w:t>5.3评审方法及评审标准</w:t>
      </w:r>
      <w:bookmarkEnd w:id="202"/>
      <w:bookmarkEnd w:id="203"/>
      <w:bookmarkEnd w:id="204"/>
      <w:bookmarkEnd w:id="205"/>
      <w:bookmarkEnd w:id="206"/>
      <w:bookmarkEnd w:id="207"/>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具体内容详见第五章“评审方法及评审标准”。</w:t>
      </w:r>
    </w:p>
    <w:p>
      <w:pPr>
        <w:spacing w:before="120" w:line="320" w:lineRule="atLeast"/>
        <w:ind w:firstLine="422" w:firstLineChars="200"/>
        <w:outlineLvl w:val="2"/>
        <w:rPr>
          <w:rFonts w:ascii="Arial" w:hAnsi="Arial" w:cs="Arial"/>
          <w:b/>
          <w:bCs/>
          <w:color w:val="auto"/>
          <w:kern w:val="0"/>
          <w:szCs w:val="21"/>
          <w:highlight w:val="none"/>
        </w:rPr>
      </w:pPr>
      <w:bookmarkStart w:id="208" w:name="_Toc2173"/>
      <w:bookmarkStart w:id="209" w:name="_Toc15533"/>
      <w:bookmarkStart w:id="210" w:name="_Toc13182"/>
      <w:bookmarkStart w:id="211" w:name="_Toc31149"/>
      <w:bookmarkStart w:id="212" w:name="_Toc4653"/>
      <w:bookmarkStart w:id="213" w:name="_Toc2516"/>
      <w:r>
        <w:rPr>
          <w:rFonts w:ascii="Arial" w:hAnsi="Arial" w:cs="Arial"/>
          <w:b/>
          <w:bCs/>
          <w:color w:val="auto"/>
          <w:kern w:val="0"/>
          <w:szCs w:val="21"/>
          <w:highlight w:val="none"/>
        </w:rPr>
        <w:t>5.4评审过程的监控</w:t>
      </w:r>
      <w:bookmarkEnd w:id="208"/>
      <w:bookmarkEnd w:id="209"/>
      <w:bookmarkEnd w:id="210"/>
      <w:bookmarkEnd w:id="211"/>
      <w:bookmarkEnd w:id="212"/>
      <w:bookmarkEnd w:id="213"/>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本项目评审过程实行全程录音、录像监控，供应商在评审过程中所进行的试图影响评审结果的不公正活动，可能导致其响应被否决。</w:t>
      </w:r>
    </w:p>
    <w:p>
      <w:pPr>
        <w:spacing w:before="120" w:line="320" w:lineRule="atLeast"/>
        <w:ind w:left="2" w:leftChars="1" w:firstLine="422" w:firstLineChars="200"/>
        <w:outlineLvl w:val="1"/>
        <w:rPr>
          <w:rFonts w:ascii="Arial" w:hAnsi="Arial" w:cs="Arial"/>
          <w:b/>
          <w:bCs/>
          <w:color w:val="auto"/>
          <w:kern w:val="0"/>
          <w:szCs w:val="21"/>
          <w:highlight w:val="none"/>
        </w:rPr>
      </w:pPr>
      <w:bookmarkStart w:id="214" w:name="_Toc26617"/>
      <w:bookmarkStart w:id="215" w:name="_Toc254970687"/>
      <w:bookmarkStart w:id="216" w:name="_Toc254970546"/>
      <w:bookmarkStart w:id="217" w:name="_Toc25757"/>
      <w:bookmarkStart w:id="218" w:name="_Toc3315"/>
      <w:bookmarkStart w:id="219" w:name="_Toc7321"/>
      <w:bookmarkStart w:id="220" w:name="_Toc24042"/>
      <w:bookmarkStart w:id="221" w:name="_Toc21823"/>
      <w:r>
        <w:rPr>
          <w:rFonts w:ascii="Arial" w:hAnsi="Arial" w:cs="Arial"/>
          <w:b/>
          <w:bCs/>
          <w:color w:val="auto"/>
          <w:kern w:val="0"/>
          <w:szCs w:val="21"/>
          <w:highlight w:val="none"/>
        </w:rPr>
        <w:t>6．评审结果</w:t>
      </w:r>
      <w:bookmarkEnd w:id="214"/>
      <w:bookmarkEnd w:id="215"/>
      <w:bookmarkEnd w:id="216"/>
      <w:bookmarkEnd w:id="217"/>
      <w:bookmarkEnd w:id="218"/>
      <w:bookmarkEnd w:id="219"/>
      <w:bookmarkEnd w:id="220"/>
      <w:bookmarkEnd w:id="221"/>
    </w:p>
    <w:p>
      <w:pPr>
        <w:spacing w:before="120" w:line="320" w:lineRule="atLeast"/>
        <w:ind w:firstLine="422" w:firstLineChars="200"/>
        <w:outlineLvl w:val="2"/>
        <w:rPr>
          <w:rFonts w:ascii="Arial" w:hAnsi="Arial" w:cs="Arial"/>
          <w:b/>
          <w:bCs/>
          <w:color w:val="auto"/>
          <w:kern w:val="0"/>
          <w:szCs w:val="21"/>
          <w:highlight w:val="none"/>
        </w:rPr>
      </w:pPr>
      <w:bookmarkStart w:id="222" w:name="_Toc54"/>
      <w:bookmarkStart w:id="223" w:name="_Toc31962"/>
      <w:bookmarkStart w:id="224" w:name="_Toc6495"/>
      <w:bookmarkStart w:id="225" w:name="_Toc26071"/>
      <w:bookmarkStart w:id="226" w:name="_Toc1214"/>
      <w:bookmarkStart w:id="227" w:name="_Toc12134"/>
      <w:r>
        <w:rPr>
          <w:rFonts w:ascii="Arial" w:hAnsi="Arial" w:cs="Arial"/>
          <w:b/>
          <w:bCs/>
          <w:color w:val="auto"/>
          <w:kern w:val="0"/>
          <w:szCs w:val="21"/>
          <w:highlight w:val="none"/>
        </w:rPr>
        <w:t>6.1确定成交供应商</w:t>
      </w:r>
      <w:bookmarkEnd w:id="222"/>
      <w:bookmarkEnd w:id="223"/>
      <w:bookmarkEnd w:id="224"/>
      <w:bookmarkEnd w:id="225"/>
      <w:bookmarkEnd w:id="226"/>
      <w:bookmarkEnd w:id="227"/>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具体内容详见第五章“评审方法及评审标准”。</w:t>
      </w:r>
    </w:p>
    <w:p>
      <w:pPr>
        <w:spacing w:before="120" w:line="320" w:lineRule="atLeast"/>
        <w:ind w:firstLine="422" w:firstLineChars="200"/>
        <w:outlineLvl w:val="2"/>
        <w:rPr>
          <w:rFonts w:ascii="Arial" w:hAnsi="Arial" w:cs="Arial"/>
          <w:b/>
          <w:bCs/>
          <w:color w:val="auto"/>
          <w:kern w:val="0"/>
          <w:szCs w:val="21"/>
          <w:highlight w:val="none"/>
        </w:rPr>
      </w:pPr>
      <w:bookmarkStart w:id="228" w:name="_Toc30168"/>
      <w:bookmarkStart w:id="229" w:name="_Toc25152"/>
      <w:bookmarkStart w:id="230" w:name="_Toc13429"/>
      <w:bookmarkStart w:id="231" w:name="_Toc119"/>
      <w:bookmarkStart w:id="232" w:name="_Toc17872"/>
      <w:bookmarkStart w:id="233" w:name="_Toc352"/>
      <w:r>
        <w:rPr>
          <w:rFonts w:ascii="Arial" w:hAnsi="Arial" w:cs="Arial"/>
          <w:b/>
          <w:bCs/>
          <w:color w:val="auto"/>
          <w:kern w:val="0"/>
          <w:szCs w:val="21"/>
          <w:highlight w:val="none"/>
        </w:rPr>
        <w:t>6.2</w:t>
      </w:r>
      <w:bookmarkEnd w:id="228"/>
      <w:bookmarkEnd w:id="229"/>
      <w:bookmarkEnd w:id="230"/>
      <w:r>
        <w:rPr>
          <w:rFonts w:ascii="Arial" w:hAnsi="Arial" w:cs="Arial"/>
          <w:b/>
          <w:bCs/>
          <w:color w:val="auto"/>
          <w:kern w:val="0"/>
          <w:szCs w:val="21"/>
          <w:highlight w:val="none"/>
        </w:rPr>
        <w:t>成交结果公告</w:t>
      </w:r>
      <w:bookmarkEnd w:id="231"/>
      <w:bookmarkEnd w:id="232"/>
      <w:bookmarkEnd w:id="233"/>
    </w:p>
    <w:p>
      <w:pPr>
        <w:spacing w:before="120" w:line="320" w:lineRule="atLeast"/>
        <w:ind w:firstLine="420" w:firstLineChars="200"/>
        <w:rPr>
          <w:rFonts w:ascii="Arial" w:hAnsi="Arial" w:cs="Arial"/>
          <w:color w:val="auto"/>
          <w:szCs w:val="21"/>
          <w:highlight w:val="none"/>
        </w:rPr>
      </w:pPr>
      <w:r>
        <w:rPr>
          <w:rFonts w:ascii="Arial" w:hAnsi="Arial" w:cs="Arial"/>
          <w:bCs/>
          <w:color w:val="auto"/>
          <w:szCs w:val="21"/>
          <w:highlight w:val="none"/>
        </w:rPr>
        <w:t>采购代理机构在采购人依法确认成交供应商后发布成交结果公告。</w:t>
      </w:r>
    </w:p>
    <w:p>
      <w:pPr>
        <w:spacing w:before="120" w:line="320" w:lineRule="atLeast"/>
        <w:ind w:firstLine="422" w:firstLineChars="200"/>
        <w:outlineLvl w:val="2"/>
        <w:rPr>
          <w:rFonts w:ascii="Arial" w:hAnsi="Arial" w:cs="Arial"/>
          <w:b/>
          <w:bCs/>
          <w:color w:val="auto"/>
          <w:kern w:val="0"/>
          <w:szCs w:val="21"/>
          <w:highlight w:val="none"/>
        </w:rPr>
      </w:pPr>
      <w:bookmarkStart w:id="234" w:name="_Toc30130"/>
      <w:bookmarkStart w:id="235" w:name="_Toc11736"/>
      <w:bookmarkStart w:id="236" w:name="_Toc12068"/>
      <w:bookmarkStart w:id="237" w:name="_Toc12791"/>
      <w:bookmarkStart w:id="238" w:name="_Toc7859"/>
      <w:bookmarkStart w:id="239" w:name="_Toc22183"/>
      <w:r>
        <w:rPr>
          <w:rFonts w:ascii="Arial" w:hAnsi="Arial" w:cs="Arial"/>
          <w:b/>
          <w:bCs/>
          <w:color w:val="auto"/>
          <w:kern w:val="0"/>
          <w:szCs w:val="21"/>
          <w:highlight w:val="none"/>
        </w:rPr>
        <w:t>6.3成交通知书发出</w:t>
      </w:r>
      <w:bookmarkEnd w:id="234"/>
      <w:bookmarkEnd w:id="235"/>
      <w:bookmarkEnd w:id="236"/>
      <w:bookmarkEnd w:id="237"/>
      <w:bookmarkEnd w:id="238"/>
      <w:bookmarkEnd w:id="239"/>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采购代理机构以“供应商须知前附表”6.3规定的形式向成交供应商发出成交通知书。成交通知书发出后，采购人改变成交结果，或者成交供应商放弃成交，应当承担相应的法律责任。</w:t>
      </w:r>
    </w:p>
    <w:p>
      <w:pPr>
        <w:spacing w:before="120" w:line="320" w:lineRule="atLeast"/>
        <w:ind w:left="2" w:leftChars="1" w:firstLine="422" w:firstLineChars="200"/>
        <w:outlineLvl w:val="1"/>
        <w:rPr>
          <w:rFonts w:ascii="Arial" w:hAnsi="Arial" w:cs="Arial"/>
          <w:b/>
          <w:bCs/>
          <w:color w:val="auto"/>
          <w:kern w:val="0"/>
          <w:szCs w:val="21"/>
          <w:highlight w:val="none"/>
        </w:rPr>
      </w:pPr>
      <w:bookmarkStart w:id="240" w:name="_Toc25945"/>
      <w:bookmarkStart w:id="241" w:name="_Toc7311"/>
      <w:bookmarkStart w:id="242" w:name="_Toc32716"/>
      <w:bookmarkStart w:id="243" w:name="_Toc28907"/>
      <w:bookmarkStart w:id="244" w:name="_Toc27879"/>
      <w:bookmarkStart w:id="245" w:name="_Toc16309"/>
      <w:r>
        <w:rPr>
          <w:rFonts w:ascii="Arial" w:hAnsi="Arial" w:cs="Arial"/>
          <w:b/>
          <w:bCs/>
          <w:color w:val="auto"/>
          <w:kern w:val="0"/>
          <w:szCs w:val="21"/>
          <w:highlight w:val="none"/>
        </w:rPr>
        <w:t>7．签订合同</w:t>
      </w:r>
      <w:bookmarkEnd w:id="240"/>
      <w:bookmarkEnd w:id="241"/>
      <w:bookmarkEnd w:id="242"/>
      <w:bookmarkEnd w:id="243"/>
      <w:bookmarkEnd w:id="244"/>
      <w:bookmarkEnd w:id="245"/>
    </w:p>
    <w:p>
      <w:pPr>
        <w:spacing w:before="120" w:line="320" w:lineRule="atLeast"/>
        <w:ind w:firstLine="422" w:firstLineChars="200"/>
        <w:outlineLvl w:val="2"/>
        <w:rPr>
          <w:rFonts w:ascii="Arial" w:hAnsi="Arial" w:cs="Arial"/>
          <w:b/>
          <w:bCs/>
          <w:color w:val="auto"/>
          <w:kern w:val="0"/>
          <w:szCs w:val="21"/>
          <w:highlight w:val="none"/>
        </w:rPr>
      </w:pPr>
      <w:bookmarkStart w:id="246" w:name="_Toc8064"/>
      <w:bookmarkStart w:id="247" w:name="_Toc28570"/>
      <w:bookmarkStart w:id="248" w:name="_Toc7970"/>
      <w:bookmarkStart w:id="249" w:name="_Toc8102"/>
      <w:bookmarkStart w:id="250" w:name="_Toc22492"/>
      <w:bookmarkStart w:id="251" w:name="_Toc26518"/>
      <w:r>
        <w:rPr>
          <w:rFonts w:ascii="Arial" w:hAnsi="Arial" w:cs="Arial"/>
          <w:b/>
          <w:bCs/>
          <w:color w:val="auto"/>
          <w:kern w:val="0"/>
          <w:szCs w:val="21"/>
          <w:highlight w:val="none"/>
        </w:rPr>
        <w:t>7.1合同授予标准</w:t>
      </w:r>
      <w:bookmarkEnd w:id="246"/>
      <w:bookmarkEnd w:id="247"/>
      <w:bookmarkEnd w:id="248"/>
      <w:bookmarkEnd w:id="249"/>
      <w:bookmarkEnd w:id="250"/>
      <w:bookmarkEnd w:id="251"/>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合同将授予被确定实质上响应磋商文件要求，具备履行合同能力，综合实力最优的供应商。</w:t>
      </w:r>
    </w:p>
    <w:p>
      <w:pPr>
        <w:spacing w:before="120" w:line="320" w:lineRule="atLeast"/>
        <w:ind w:firstLine="422" w:firstLineChars="200"/>
        <w:outlineLvl w:val="2"/>
        <w:rPr>
          <w:rFonts w:ascii="Arial" w:hAnsi="Arial" w:cs="Arial"/>
          <w:b/>
          <w:bCs/>
          <w:color w:val="auto"/>
          <w:kern w:val="0"/>
          <w:szCs w:val="21"/>
          <w:highlight w:val="none"/>
        </w:rPr>
      </w:pPr>
      <w:bookmarkStart w:id="252" w:name="_Toc1895"/>
      <w:bookmarkStart w:id="253" w:name="_Toc30547"/>
      <w:bookmarkStart w:id="254" w:name="_Toc25598"/>
      <w:bookmarkStart w:id="255" w:name="_Toc21976"/>
      <w:bookmarkStart w:id="256" w:name="_Toc31622"/>
      <w:bookmarkStart w:id="257" w:name="_Toc4266"/>
      <w:r>
        <w:rPr>
          <w:rFonts w:ascii="Arial" w:hAnsi="Arial" w:cs="Arial"/>
          <w:b/>
          <w:bCs/>
          <w:color w:val="auto"/>
          <w:kern w:val="0"/>
          <w:szCs w:val="21"/>
          <w:highlight w:val="none"/>
        </w:rPr>
        <w:t>7.2签订合同</w:t>
      </w:r>
      <w:bookmarkEnd w:id="252"/>
      <w:bookmarkEnd w:id="253"/>
      <w:bookmarkEnd w:id="254"/>
      <w:bookmarkEnd w:id="255"/>
      <w:bookmarkEnd w:id="256"/>
      <w:bookmarkEnd w:id="257"/>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7.2.1成交供应商应在接到成交通知书后</w:t>
      </w:r>
      <w:r>
        <w:rPr>
          <w:rFonts w:hint="eastAsia" w:ascii="Arial" w:hAnsi="Arial" w:cs="Arial"/>
          <w:color w:val="auto"/>
          <w:szCs w:val="21"/>
          <w:highlight w:val="none"/>
        </w:rPr>
        <w:t>25</w:t>
      </w:r>
      <w:r>
        <w:rPr>
          <w:rFonts w:ascii="Arial" w:hAnsi="Arial" w:cs="Arial"/>
          <w:color w:val="auto"/>
          <w:szCs w:val="21"/>
          <w:highlight w:val="none"/>
        </w:rPr>
        <w:t>日内，按成交通知书规定与采购人签订合同。</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7.2.2磋商文件、成交供应商的响应文件及澄清文件等，均为签订采购合同的依据。</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7.2.3如成交供应商不按成交通知书的规定签订合同，则按成交供应商违约处理，采购代理机构将没收成交供应商的全部磋商保证金。</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7.2.4成交供应商因不可抗力或者自身原因不能履行采购合同的，采购人可以与成交供应商之后排名第一的成交候选人签订采购合同，以此类推。</w:t>
      </w:r>
    </w:p>
    <w:p>
      <w:pPr>
        <w:spacing w:before="120" w:line="320" w:lineRule="atLeast"/>
        <w:ind w:firstLine="422" w:firstLineChars="200"/>
        <w:outlineLvl w:val="2"/>
        <w:rPr>
          <w:rFonts w:ascii="Arial" w:hAnsi="Arial" w:cs="Arial"/>
          <w:b/>
          <w:bCs/>
          <w:color w:val="auto"/>
          <w:kern w:val="0"/>
          <w:szCs w:val="21"/>
          <w:highlight w:val="none"/>
        </w:rPr>
      </w:pPr>
      <w:bookmarkStart w:id="258" w:name="_Toc31523"/>
      <w:bookmarkStart w:id="259" w:name="_Toc8571"/>
      <w:bookmarkStart w:id="260" w:name="_Toc7267"/>
      <w:bookmarkStart w:id="261" w:name="_Toc5905"/>
      <w:bookmarkStart w:id="262" w:name="_Toc7468"/>
      <w:bookmarkStart w:id="263" w:name="_Toc23216"/>
      <w:r>
        <w:rPr>
          <w:rFonts w:ascii="Arial" w:hAnsi="Arial" w:cs="Arial"/>
          <w:b/>
          <w:bCs/>
          <w:color w:val="auto"/>
          <w:kern w:val="0"/>
          <w:szCs w:val="21"/>
          <w:highlight w:val="none"/>
        </w:rPr>
        <w:t>7.3 履行合同</w:t>
      </w:r>
      <w:bookmarkEnd w:id="258"/>
      <w:bookmarkEnd w:id="259"/>
      <w:bookmarkEnd w:id="260"/>
      <w:bookmarkEnd w:id="261"/>
      <w:bookmarkEnd w:id="262"/>
      <w:bookmarkEnd w:id="263"/>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7.3.1成交供应商与采购人签订合同后，合同双方应严格执行合同条款，履行合同规定的义务，保证合同的顺利完成。</w:t>
      </w:r>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7.3.2在合同履行过程中，如发生合同纠纷，合同双方应按照《</w:t>
      </w:r>
      <w:r>
        <w:rPr>
          <w:rFonts w:hint="eastAsia" w:ascii="Arial" w:hAnsi="Arial" w:cs="Arial"/>
          <w:color w:val="auto"/>
          <w:szCs w:val="21"/>
          <w:highlight w:val="none"/>
        </w:rPr>
        <w:t>民法典</w:t>
      </w:r>
      <w:r>
        <w:rPr>
          <w:rFonts w:ascii="Arial" w:hAnsi="Arial" w:cs="Arial"/>
          <w:color w:val="auto"/>
          <w:szCs w:val="21"/>
          <w:highlight w:val="none"/>
        </w:rPr>
        <w:t>》的有关规定进行处理。</w:t>
      </w:r>
    </w:p>
    <w:p>
      <w:pPr>
        <w:spacing w:before="120" w:line="320" w:lineRule="atLeast"/>
        <w:ind w:left="2" w:leftChars="1" w:firstLine="422" w:firstLineChars="200"/>
        <w:outlineLvl w:val="1"/>
        <w:rPr>
          <w:rFonts w:ascii="Arial" w:hAnsi="Arial" w:cs="Arial"/>
          <w:b/>
          <w:bCs/>
          <w:color w:val="auto"/>
          <w:kern w:val="0"/>
          <w:szCs w:val="21"/>
          <w:highlight w:val="none"/>
        </w:rPr>
      </w:pPr>
      <w:bookmarkStart w:id="264" w:name="_Toc14010"/>
      <w:bookmarkStart w:id="265" w:name="_Toc13911"/>
      <w:bookmarkStart w:id="266" w:name="_Toc19626"/>
      <w:bookmarkStart w:id="267" w:name="_Toc23242"/>
      <w:bookmarkStart w:id="268" w:name="_Toc22923"/>
      <w:bookmarkStart w:id="269" w:name="_Toc4088"/>
      <w:r>
        <w:rPr>
          <w:rFonts w:ascii="Arial" w:hAnsi="Arial" w:cs="Arial"/>
          <w:b/>
          <w:bCs/>
          <w:color w:val="auto"/>
          <w:kern w:val="0"/>
          <w:szCs w:val="21"/>
          <w:highlight w:val="none"/>
        </w:rPr>
        <w:t>8．代理服务收费</w:t>
      </w:r>
      <w:bookmarkEnd w:id="264"/>
      <w:bookmarkEnd w:id="265"/>
      <w:bookmarkEnd w:id="266"/>
      <w:bookmarkEnd w:id="267"/>
      <w:bookmarkEnd w:id="268"/>
      <w:bookmarkEnd w:id="269"/>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8.1代理服务收费标准详见供应商须知前附表。</w:t>
      </w:r>
    </w:p>
    <w:p>
      <w:pPr>
        <w:spacing w:before="120" w:line="320" w:lineRule="atLeast"/>
        <w:ind w:firstLine="422" w:firstLineChars="200"/>
        <w:outlineLvl w:val="2"/>
        <w:rPr>
          <w:rFonts w:ascii="Arial" w:hAnsi="Arial" w:cs="Arial"/>
          <w:b/>
          <w:bCs/>
          <w:color w:val="auto"/>
          <w:kern w:val="0"/>
          <w:szCs w:val="21"/>
          <w:highlight w:val="none"/>
        </w:rPr>
      </w:pPr>
      <w:bookmarkStart w:id="270" w:name="_Toc12019"/>
      <w:bookmarkStart w:id="271" w:name="_Toc14332"/>
      <w:bookmarkStart w:id="272" w:name="_Toc3658"/>
      <w:bookmarkStart w:id="273" w:name="_Toc16551"/>
      <w:bookmarkStart w:id="274" w:name="_Toc22167"/>
      <w:bookmarkStart w:id="275" w:name="_Toc31694"/>
      <w:r>
        <w:rPr>
          <w:rFonts w:ascii="Arial" w:hAnsi="Arial" w:cs="Arial"/>
          <w:b/>
          <w:bCs/>
          <w:color w:val="auto"/>
          <w:kern w:val="0"/>
          <w:szCs w:val="21"/>
          <w:highlight w:val="none"/>
        </w:rPr>
        <w:t>9. 其他说明</w:t>
      </w:r>
      <w:bookmarkEnd w:id="270"/>
      <w:bookmarkEnd w:id="271"/>
      <w:bookmarkEnd w:id="272"/>
      <w:bookmarkEnd w:id="273"/>
      <w:bookmarkEnd w:id="274"/>
      <w:bookmarkEnd w:id="275"/>
    </w:p>
    <w:p>
      <w:pPr>
        <w:spacing w:before="120" w:line="320" w:lineRule="atLeast"/>
        <w:ind w:firstLine="420" w:firstLineChars="200"/>
        <w:rPr>
          <w:rFonts w:ascii="Arial" w:hAnsi="Arial" w:cs="Arial"/>
          <w:color w:val="auto"/>
          <w:szCs w:val="21"/>
          <w:highlight w:val="none"/>
        </w:rPr>
      </w:pPr>
      <w:r>
        <w:rPr>
          <w:rFonts w:ascii="Arial" w:hAnsi="Arial" w:cs="Arial"/>
          <w:color w:val="auto"/>
          <w:szCs w:val="21"/>
          <w:highlight w:val="none"/>
        </w:rPr>
        <w:t>自购买磋商文件之日起，供应商应保证其提供的联系方式（电话、传真、电子邮件）一直有效，以保证往来函件（磋商文件的澄清、修改等）能及时通知供应商，并能及时反馈信息，否则采购人及采购代理机构不承担由此引起的一切后果。</w:t>
      </w:r>
    </w:p>
    <w:p>
      <w:pPr>
        <w:spacing w:before="120" w:line="400" w:lineRule="exact"/>
        <w:ind w:firstLine="420" w:firstLineChars="200"/>
        <w:rPr>
          <w:rFonts w:ascii="Arial" w:hAnsi="Arial" w:cs="Arial"/>
          <w:color w:val="auto"/>
          <w:szCs w:val="21"/>
          <w:highlight w:val="none"/>
        </w:rPr>
      </w:pPr>
      <w:r>
        <w:rPr>
          <w:rFonts w:ascii="Arial" w:hAnsi="Arial" w:cs="Arial"/>
          <w:color w:val="auto"/>
          <w:szCs w:val="21"/>
          <w:highlight w:val="none"/>
        </w:rPr>
        <w:t>采购代理机构无义务向未成交的供应商解释未成交原因和退还响应文件。</w:t>
      </w:r>
    </w:p>
    <w:p>
      <w:pPr>
        <w:rPr>
          <w:rFonts w:ascii="Arial" w:hAnsi="Arial" w:cs="Arial"/>
          <w:b/>
          <w:bCs/>
          <w:color w:val="auto"/>
          <w:sz w:val="32"/>
          <w:szCs w:val="32"/>
          <w:highlight w:val="none"/>
        </w:rPr>
      </w:pPr>
      <w:bookmarkStart w:id="276" w:name="_Toc13710"/>
      <w:bookmarkStart w:id="277" w:name="_Toc438294625"/>
      <w:bookmarkStart w:id="278" w:name="_Toc254970690"/>
      <w:bookmarkStart w:id="279" w:name="_Toc254970549"/>
      <w:bookmarkStart w:id="280" w:name="_Toc298516024"/>
    </w:p>
    <w:p>
      <w:pPr>
        <w:rPr>
          <w:rFonts w:ascii="Arial" w:hAnsi="Arial" w:cs="Arial"/>
          <w:b/>
          <w:bCs/>
          <w:color w:val="auto"/>
          <w:sz w:val="32"/>
          <w:szCs w:val="32"/>
          <w:highlight w:val="none"/>
        </w:rPr>
        <w:sectPr>
          <w:headerReference r:id="rId12" w:type="first"/>
          <w:headerReference r:id="rId11" w:type="default"/>
          <w:type w:val="continuous"/>
          <w:pgSz w:w="11906" w:h="16838"/>
          <w:pgMar w:top="1134" w:right="1134" w:bottom="1134" w:left="1134" w:header="680" w:footer="907" w:gutter="0"/>
          <w:cols w:space="720" w:num="1"/>
          <w:titlePg/>
          <w:docGrid w:linePitch="271" w:charSpace="0"/>
        </w:sectPr>
      </w:pPr>
    </w:p>
    <w:p>
      <w:pPr>
        <w:pStyle w:val="2"/>
        <w:spacing w:line="360" w:lineRule="auto"/>
        <w:rPr>
          <w:rFonts w:ascii="Arial" w:hAnsi="Arial" w:eastAsia="宋体" w:cs="Arial"/>
          <w:b/>
          <w:bCs w:val="0"/>
          <w:color w:val="auto"/>
          <w:szCs w:val="32"/>
          <w:highlight w:val="none"/>
        </w:rPr>
      </w:pPr>
      <w:bookmarkStart w:id="281" w:name="_Toc16414"/>
      <w:r>
        <w:rPr>
          <w:rFonts w:ascii="Arial" w:hAnsi="Arial" w:eastAsia="宋体" w:cs="Arial"/>
          <w:b/>
          <w:bCs w:val="0"/>
          <w:color w:val="auto"/>
          <w:szCs w:val="32"/>
          <w:highlight w:val="none"/>
        </w:rPr>
        <w:t>第四章 合同</w:t>
      </w:r>
      <w:bookmarkEnd w:id="276"/>
      <w:bookmarkEnd w:id="277"/>
      <w:r>
        <w:rPr>
          <w:rFonts w:ascii="Arial" w:hAnsi="Arial" w:eastAsia="宋体" w:cs="Arial"/>
          <w:b/>
          <w:bCs w:val="0"/>
          <w:color w:val="auto"/>
          <w:szCs w:val="32"/>
          <w:highlight w:val="none"/>
        </w:rPr>
        <w:t>格式</w:t>
      </w:r>
      <w:bookmarkEnd w:id="281"/>
    </w:p>
    <w:p>
      <w:pPr>
        <w:snapToGrid w:val="0"/>
        <w:spacing w:line="360" w:lineRule="exact"/>
        <w:rPr>
          <w:rFonts w:ascii="Arial" w:hAnsi="Arial" w:cs="Arial"/>
          <w:bCs/>
          <w:color w:val="auto"/>
          <w:szCs w:val="21"/>
          <w:highlight w:val="none"/>
        </w:rPr>
      </w:pPr>
      <w:r>
        <w:rPr>
          <w:rFonts w:ascii="Arial" w:hAnsi="Arial" w:cs="Arial"/>
          <w:bCs/>
          <w:color w:val="auto"/>
          <w:szCs w:val="21"/>
          <w:highlight w:val="none"/>
        </w:rPr>
        <w:t xml:space="preserve">                                                        </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 xml:space="preserve">项目名称： </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 xml:space="preserve">项目编号： </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甲方：（采购人）</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乙方：（</w:t>
      </w:r>
      <w:r>
        <w:rPr>
          <w:rFonts w:hint="eastAsia" w:ascii="Arial" w:hAnsi="Arial" w:cs="Arial"/>
          <w:color w:val="auto"/>
          <w:highlight w:val="none"/>
        </w:rPr>
        <w:t>成交</w:t>
      </w:r>
      <w:r>
        <w:rPr>
          <w:rFonts w:ascii="Arial" w:hAnsi="Arial" w:cs="Arial"/>
          <w:color w:val="auto"/>
          <w:highlight w:val="none"/>
        </w:rPr>
        <w:t>供应商）</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根据《中华人民共和国民法典》、《中华人民共和国药品管理法》、《国务院办公厅关于完善公立医院药品集中采购工作的指导意见》(国办发〔2015〕7号)等有关规定，为确保中药饮片代煎项目的顺利进行，明确甲乙双方的权利和义务，特订立本合同。</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第一条</w:t>
      </w:r>
      <w:r>
        <w:rPr>
          <w:rFonts w:hint="eastAsia" w:ascii="Arial" w:hAnsi="Arial" w:cs="Arial"/>
          <w:b/>
          <w:bCs/>
          <w:color w:val="auto"/>
          <w:highlight w:val="none"/>
        </w:rPr>
        <w:t xml:space="preserve"> </w:t>
      </w:r>
      <w:r>
        <w:rPr>
          <w:rFonts w:ascii="Arial" w:hAnsi="Arial" w:cs="Arial"/>
          <w:b/>
          <w:bCs/>
          <w:color w:val="auto"/>
          <w:highlight w:val="none"/>
        </w:rPr>
        <w:t>资质证明</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1、乙方应取得《广西中药饮片代煎质量管理规范（试行）》要求的认证资格或承诺中标后三个月内能在桂林设有代煎服务点并通过《广西中药饮片代煎质量管理规范（试行）》要求的认证资格；</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2、乙方需向甲方提供合法有效的《营业执照》、业务人员法人委托书（需明确委托事项，有效期限）及身份证复印件等资料。</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第二条</w:t>
      </w:r>
      <w:r>
        <w:rPr>
          <w:rFonts w:hint="eastAsia" w:ascii="Arial" w:hAnsi="Arial" w:cs="Arial"/>
          <w:b/>
          <w:bCs/>
          <w:color w:val="auto"/>
          <w:highlight w:val="none"/>
        </w:rPr>
        <w:t xml:space="preserve"> </w:t>
      </w:r>
      <w:r>
        <w:rPr>
          <w:rFonts w:ascii="Arial" w:hAnsi="Arial" w:cs="Arial"/>
          <w:b/>
          <w:bCs/>
          <w:color w:val="auto"/>
          <w:highlight w:val="none"/>
        </w:rPr>
        <w:t>合作内容</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w:t>
      </w:r>
      <w:r>
        <w:rPr>
          <w:rFonts w:hint="eastAsia" w:ascii="Arial" w:hAnsi="Arial" w:cs="Arial"/>
          <w:color w:val="auto"/>
          <w:highlight w:val="none"/>
        </w:rPr>
        <w:t>乙方</w:t>
      </w:r>
      <w:r>
        <w:rPr>
          <w:rFonts w:ascii="Arial" w:hAnsi="Arial" w:cs="Arial"/>
          <w:color w:val="auto"/>
          <w:highlight w:val="none"/>
        </w:rPr>
        <w:t>为甲方提供中药饮片煎煮，同甲方建立中药饮片代煎合作关系。</w:t>
      </w:r>
      <w:r>
        <w:rPr>
          <w:rFonts w:hint="eastAsia" w:ascii="Arial" w:hAnsi="Arial" w:cs="Arial"/>
          <w:color w:val="auto"/>
          <w:highlight w:val="none"/>
        </w:rPr>
        <w:t>乙方</w:t>
      </w:r>
      <w:r>
        <w:rPr>
          <w:rFonts w:ascii="Arial" w:hAnsi="Arial" w:cs="Arial"/>
          <w:color w:val="auto"/>
          <w:highlight w:val="none"/>
        </w:rPr>
        <w:t>（中药煎煮中心）使用的饮片由</w:t>
      </w:r>
      <w:r>
        <w:rPr>
          <w:rFonts w:ascii="Arial" w:hAnsi="Arial" w:cs="Arial"/>
          <w:color w:val="auto"/>
          <w:szCs w:val="21"/>
          <w:highlight w:val="none"/>
        </w:rPr>
        <w:t>由</w:t>
      </w:r>
      <w:r>
        <w:rPr>
          <w:rFonts w:hint="eastAsia" w:ascii="Arial" w:hAnsi="Arial" w:cs="Arial"/>
          <w:color w:val="auto"/>
          <w:szCs w:val="21"/>
          <w:highlight w:val="none"/>
          <w:lang w:val="en-US" w:eastAsia="zh-CN"/>
        </w:rPr>
        <w:t>乙方</w:t>
      </w:r>
      <w:r>
        <w:rPr>
          <w:rFonts w:ascii="Arial" w:hAnsi="Arial" w:cs="Arial"/>
          <w:color w:val="auto"/>
          <w:szCs w:val="21"/>
          <w:highlight w:val="none"/>
        </w:rPr>
        <w:t>提供</w:t>
      </w:r>
      <w:r>
        <w:rPr>
          <w:rFonts w:hint="eastAsia" w:ascii="Arial" w:hAnsi="Arial" w:cs="Arial"/>
          <w:color w:val="auto"/>
          <w:szCs w:val="21"/>
          <w:highlight w:val="none"/>
          <w:lang w:eastAsia="zh-CN"/>
        </w:rPr>
        <w:t>，</w:t>
      </w:r>
      <w:r>
        <w:rPr>
          <w:rFonts w:hint="eastAsia" w:ascii="Arial" w:hAnsi="Arial" w:cs="Arial"/>
          <w:color w:val="auto"/>
          <w:kern w:val="0"/>
          <w:szCs w:val="21"/>
          <w:highlight w:val="none"/>
        </w:rPr>
        <w:t>供应期限内实际结算价款按</w:t>
      </w:r>
      <w:r>
        <w:rPr>
          <w:rFonts w:hint="eastAsia" w:ascii="Arial" w:hAnsi="Arial" w:cs="Arial"/>
          <w:color w:val="auto"/>
          <w:kern w:val="0"/>
          <w:szCs w:val="21"/>
          <w:highlight w:val="none"/>
          <w:lang w:val="en-US" w:eastAsia="zh-CN"/>
        </w:rPr>
        <w:t>甲方</w:t>
      </w:r>
      <w:r>
        <w:rPr>
          <w:rFonts w:hint="eastAsia" w:ascii="Arial" w:hAnsi="Arial" w:cs="Arial"/>
          <w:color w:val="auto"/>
          <w:kern w:val="0"/>
          <w:szCs w:val="21"/>
          <w:highlight w:val="none"/>
        </w:rPr>
        <w:t>实际采购数量据实结算</w:t>
      </w:r>
      <w:r>
        <w:rPr>
          <w:rFonts w:hint="eastAsia" w:ascii="Arial" w:hAnsi="Arial" w:cs="Arial"/>
          <w:color w:val="auto"/>
          <w:szCs w:val="21"/>
          <w:highlight w:val="none"/>
          <w:lang w:eastAsia="zh-CN"/>
        </w:rPr>
        <w:t>，</w:t>
      </w:r>
      <w:r>
        <w:rPr>
          <w:rFonts w:hint="eastAsia" w:ascii="Arial" w:hAnsi="Arial" w:cs="Arial"/>
          <w:color w:val="auto"/>
          <w:szCs w:val="21"/>
          <w:highlight w:val="none"/>
          <w:lang w:val="en-US" w:eastAsia="zh-CN"/>
        </w:rPr>
        <w:t>也可由</w:t>
      </w:r>
      <w:r>
        <w:rPr>
          <w:rFonts w:ascii="Arial" w:hAnsi="Arial" w:cs="Arial"/>
          <w:color w:val="auto"/>
          <w:highlight w:val="none"/>
        </w:rPr>
        <w:t>甲方的中药饮片定点供应商提供。</w:t>
      </w:r>
      <w:r>
        <w:rPr>
          <w:rFonts w:hint="eastAsia" w:ascii="Arial" w:hAnsi="Arial" w:cs="Arial"/>
          <w:color w:val="auto"/>
          <w:highlight w:val="none"/>
        </w:rPr>
        <w:t>乙方</w:t>
      </w:r>
      <w:r>
        <w:rPr>
          <w:rFonts w:ascii="Arial" w:hAnsi="Arial" w:cs="Arial"/>
          <w:color w:val="auto"/>
          <w:highlight w:val="none"/>
        </w:rPr>
        <w:t>须协助甲方做好代煎饮片的质量管理和调剂服务，确保账物相符。</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2、甲方向乙方系统提供HIS接口，甲方将其患者需要代煎、配送服务的处方传输给乙方，委托乙方进行处方二次审核、调剂、代煎、配送等服务，乙方按甲方和患者指定地点将药品送达甲方和患者。</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3、甲方按本协议约定向乙方支付实际费用。</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4、乙方若有企业名称、住所地等信息变更，需向甲方书面说明，并在信息变更后10个工作日内到甲方指定部门办理变更备案手续。</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5、甲乙双方积极做好相应准备工作，确保在双方签订本协议日起30天内（即</w:t>
      </w:r>
      <w:r>
        <w:rPr>
          <w:rFonts w:hint="eastAsia" w:ascii="Arial" w:hAnsi="Arial" w:cs="Arial"/>
          <w:color w:val="auto"/>
          <w:highlight w:val="none"/>
        </w:rPr>
        <w:t xml:space="preserve">  </w:t>
      </w:r>
      <w:r>
        <w:rPr>
          <w:rFonts w:ascii="Arial" w:hAnsi="Arial" w:cs="Arial"/>
          <w:color w:val="auto"/>
          <w:highlight w:val="none"/>
        </w:rPr>
        <w:t>年</w:t>
      </w:r>
      <w:r>
        <w:rPr>
          <w:rFonts w:hint="eastAsia" w:ascii="Arial" w:hAnsi="Arial" w:cs="Arial"/>
          <w:color w:val="auto"/>
          <w:highlight w:val="none"/>
        </w:rPr>
        <w:t xml:space="preserve"> </w:t>
      </w:r>
      <w:r>
        <w:rPr>
          <w:rFonts w:ascii="Arial" w:hAnsi="Arial" w:cs="Arial"/>
          <w:color w:val="auto"/>
          <w:highlight w:val="none"/>
        </w:rPr>
        <w:t>月</w:t>
      </w:r>
      <w:r>
        <w:rPr>
          <w:rFonts w:hint="eastAsia" w:ascii="Arial" w:hAnsi="Arial" w:cs="Arial"/>
          <w:color w:val="auto"/>
          <w:highlight w:val="none"/>
        </w:rPr>
        <w:t xml:space="preserve">  </w:t>
      </w:r>
      <w:r>
        <w:rPr>
          <w:rFonts w:ascii="Arial" w:hAnsi="Arial" w:cs="Arial"/>
          <w:color w:val="auto"/>
          <w:highlight w:val="none"/>
        </w:rPr>
        <w:t>日）完成HIS系统对接、药品备货等相应筹备工作，并正式启动中药饮片代煎配送服务。</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6、乙方承担代煎服务HIS系统对接、安装、运行、维护、升级等的相关费用。</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第三条</w:t>
      </w:r>
      <w:r>
        <w:rPr>
          <w:rFonts w:hint="eastAsia" w:ascii="Arial" w:hAnsi="Arial" w:cs="Arial"/>
          <w:b/>
          <w:bCs/>
          <w:color w:val="auto"/>
          <w:highlight w:val="none"/>
        </w:rPr>
        <w:t xml:space="preserve"> </w:t>
      </w:r>
      <w:r>
        <w:rPr>
          <w:rFonts w:ascii="Arial" w:hAnsi="Arial" w:cs="Arial"/>
          <w:b/>
          <w:bCs/>
          <w:color w:val="auto"/>
          <w:highlight w:val="none"/>
        </w:rPr>
        <w:t>质量要求</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1、乙方的中药饮片储存、调配、配送所使用的场地、设备、环境卫生和人员资质等必须符合国家相关法律法规的要求。</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2、处方审核、调剂：乙方应遵守《处方管理办法》、《中华人民共和国药品管理法》、《中药处方与调剂技术规范》、《麻醉药品和精神药品管理条例》等相关法律法规，建立健全中药处方审核、调剂业务相关规范，确保中药处方审核及调剂准确度。</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3、中药煎煮：乙方的中药煎煮中心应符合或参照适用《医疗机构中药煎药室管理规范》等国家相关法律法规要求。乙方应按国家卫计委、国家中医药管理局等有关标准和质量要求进行煎煮服务，所使用的场地、设备、包装材料和环境卫生及煎药人员资质等都应符合《医疗机构中药煎药室管理规范》的规定和《中药煎药机》、《中药汤剂包装机》等行业标准。</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4、药品配送：乙方应建立健全配送服务的相关配套设施及相关管理规范，确保饮片以及中药代煎配送的过程质量以及效率。</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第四条</w:t>
      </w:r>
      <w:r>
        <w:rPr>
          <w:rFonts w:hint="eastAsia" w:ascii="Arial" w:hAnsi="Arial" w:cs="Arial"/>
          <w:b/>
          <w:bCs/>
          <w:color w:val="auto"/>
          <w:highlight w:val="none"/>
        </w:rPr>
        <w:t xml:space="preserve"> </w:t>
      </w:r>
      <w:r>
        <w:rPr>
          <w:rFonts w:ascii="Arial" w:hAnsi="Arial" w:cs="Arial"/>
          <w:b/>
          <w:bCs/>
          <w:color w:val="auto"/>
          <w:highlight w:val="none"/>
        </w:rPr>
        <w:t>配送时间及地点</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1、配送医院时间：自收到甲方订单后12小时内送达。</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2、快递配送时效及地点范围：需24小时内直接快递配送到患者指定地点。</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第五条</w:t>
      </w:r>
      <w:r>
        <w:rPr>
          <w:rFonts w:hint="eastAsia" w:ascii="Arial" w:hAnsi="Arial" w:cs="Arial"/>
          <w:b/>
          <w:bCs/>
          <w:color w:val="auto"/>
          <w:highlight w:val="none"/>
        </w:rPr>
        <w:t xml:space="preserve"> </w:t>
      </w:r>
      <w:r>
        <w:rPr>
          <w:rFonts w:ascii="Arial" w:hAnsi="Arial" w:cs="Arial"/>
          <w:b/>
          <w:bCs/>
          <w:color w:val="auto"/>
          <w:highlight w:val="none"/>
        </w:rPr>
        <w:t>费用与结算</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1、代煎费：按自治区相关规定的医疗服务收费标准，由甲方代乙方向患者收取，对帐一致后，乙方以元/剂的代煎费，按月开具发票交付甲方。</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2、配送费：由患者在指定区域办理快递缴费登记手续，桂林市六城区及县城区免费配送（不包含乡镇村）。</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3、对账、结算：</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乙方每月25日把当月煎煮中心的代煎费用按照双方约定的方式同甲方指定部门进行对账。</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乙方每月10日前，双方对上月代煎费用结算清单进行对账(不一致时以甲方数据为准)</w:t>
      </w:r>
      <w:r>
        <w:rPr>
          <w:rFonts w:hint="eastAsia" w:ascii="Arial" w:hAnsi="Arial" w:cs="Arial"/>
          <w:color w:val="auto"/>
          <w:highlight w:val="none"/>
        </w:rPr>
        <w:t>，</w:t>
      </w:r>
      <w:r>
        <w:rPr>
          <w:rFonts w:ascii="Arial" w:hAnsi="Arial" w:cs="Arial"/>
          <w:color w:val="auto"/>
          <w:highlight w:val="none"/>
        </w:rPr>
        <w:t>对账完成后签字确认，乙方开具增值税专用发票交与甲方。甲方在收到乙方代煎费用发票后一个月内付款给乙方。</w:t>
      </w:r>
    </w:p>
    <w:p>
      <w:pPr>
        <w:adjustRightInd w:val="0"/>
        <w:snapToGrid w:val="0"/>
        <w:spacing w:line="360" w:lineRule="auto"/>
        <w:ind w:firstLine="420" w:firstLineChars="200"/>
        <w:rPr>
          <w:rFonts w:hint="eastAsia" w:ascii="Arial" w:hAnsi="Arial" w:eastAsia="宋体" w:cs="Arial"/>
          <w:color w:val="auto"/>
          <w:highlight w:val="none"/>
          <w:lang w:val="en-US" w:eastAsia="zh-CN"/>
        </w:rPr>
      </w:pPr>
      <w:r>
        <w:rPr>
          <w:rFonts w:hint="eastAsia" w:ascii="Arial" w:hAnsi="Arial" w:cs="Arial"/>
          <w:color w:val="auto"/>
          <w:highlight w:val="none"/>
          <w:lang w:val="en-US" w:eastAsia="zh-CN"/>
        </w:rPr>
        <w:t>4、</w:t>
      </w:r>
      <w:r>
        <w:rPr>
          <w:rFonts w:hint="eastAsia" w:ascii="Arial" w:hAnsi="Arial" w:cs="Arial"/>
          <w:b/>
          <w:color w:val="auto"/>
          <w:szCs w:val="21"/>
          <w:highlight w:val="none"/>
          <w:lang w:val="en-US" w:eastAsia="zh-CN"/>
        </w:rPr>
        <w:t>饮片结算：</w:t>
      </w:r>
      <w:r>
        <w:rPr>
          <w:rFonts w:hint="eastAsia" w:ascii="Arial" w:hAnsi="Arial" w:cs="Arial"/>
          <w:b w:val="0"/>
          <w:bCs/>
          <w:color w:val="auto"/>
          <w:szCs w:val="21"/>
          <w:highlight w:val="none"/>
          <w:lang w:val="en-US" w:eastAsia="zh-CN"/>
        </w:rPr>
        <w:t>本项目如由本项目乙方提供饮片，</w:t>
      </w:r>
      <w:r>
        <w:rPr>
          <w:rFonts w:ascii="Arial" w:hAnsi="Arial" w:cs="Arial"/>
          <w:color w:val="auto"/>
          <w:szCs w:val="21"/>
          <w:highlight w:val="none"/>
        </w:rPr>
        <w:t>无预付款，根据供货品种的数量乘以单价计算出核算总额，货物交货验收及计量检定合格或校准符合后</w:t>
      </w:r>
      <w:r>
        <w:rPr>
          <w:rFonts w:hint="eastAsia" w:ascii="Arial" w:hAnsi="Arial" w:cs="Arial"/>
          <w:color w:val="auto"/>
          <w:szCs w:val="21"/>
          <w:highlight w:val="none"/>
          <w:lang w:val="en-US" w:eastAsia="zh-CN"/>
        </w:rPr>
        <w:t>甲方</w:t>
      </w:r>
      <w:r>
        <w:rPr>
          <w:rFonts w:ascii="Arial" w:hAnsi="Arial" w:cs="Arial"/>
          <w:color w:val="auto"/>
          <w:szCs w:val="21"/>
          <w:highlight w:val="none"/>
        </w:rPr>
        <w:t>向</w:t>
      </w:r>
      <w:r>
        <w:rPr>
          <w:rFonts w:hint="eastAsia" w:ascii="Arial" w:hAnsi="Arial" w:cs="Arial"/>
          <w:color w:val="auto"/>
          <w:szCs w:val="21"/>
          <w:highlight w:val="none"/>
          <w:lang w:val="en-US" w:eastAsia="zh-CN"/>
        </w:rPr>
        <w:t>乙方</w:t>
      </w:r>
      <w:r>
        <w:rPr>
          <w:rFonts w:ascii="Arial" w:hAnsi="Arial" w:cs="Arial"/>
          <w:color w:val="auto"/>
          <w:szCs w:val="21"/>
          <w:highlight w:val="none"/>
        </w:rPr>
        <w:t>支付当期货款,</w:t>
      </w:r>
      <w:r>
        <w:rPr>
          <w:rFonts w:hint="eastAsia" w:ascii="Arial" w:hAnsi="Arial" w:cs="Arial"/>
          <w:color w:val="auto"/>
          <w:szCs w:val="21"/>
          <w:highlight w:val="none"/>
          <w:lang w:val="en-US" w:eastAsia="zh-CN"/>
        </w:rPr>
        <w:t>乙方</w:t>
      </w:r>
      <w:r>
        <w:rPr>
          <w:rFonts w:ascii="Arial" w:hAnsi="Arial" w:cs="Arial"/>
          <w:color w:val="auto"/>
          <w:szCs w:val="21"/>
          <w:highlight w:val="none"/>
        </w:rPr>
        <w:t>每次收款前应向</w:t>
      </w:r>
      <w:r>
        <w:rPr>
          <w:rFonts w:hint="eastAsia" w:ascii="Arial" w:hAnsi="Arial" w:cs="Arial"/>
          <w:color w:val="auto"/>
          <w:szCs w:val="21"/>
          <w:highlight w:val="none"/>
          <w:lang w:val="en-US" w:eastAsia="zh-CN"/>
        </w:rPr>
        <w:t>甲方</w:t>
      </w:r>
      <w:r>
        <w:rPr>
          <w:rFonts w:ascii="Arial" w:hAnsi="Arial" w:cs="Arial"/>
          <w:color w:val="auto"/>
          <w:szCs w:val="21"/>
          <w:highlight w:val="none"/>
        </w:rPr>
        <w:t>出具等额有效的增值税普通发票。</w:t>
      </w:r>
      <w:r>
        <w:rPr>
          <w:rFonts w:hint="eastAsia" w:ascii="Arial" w:hAnsi="Arial" w:cs="Arial"/>
          <w:color w:val="auto"/>
          <w:szCs w:val="21"/>
          <w:highlight w:val="none"/>
          <w:lang w:val="en-US" w:eastAsia="zh-CN"/>
        </w:rPr>
        <w:t>甲方</w:t>
      </w:r>
      <w:r>
        <w:rPr>
          <w:rFonts w:ascii="Arial" w:hAnsi="Arial" w:cs="Arial"/>
          <w:color w:val="auto"/>
          <w:szCs w:val="21"/>
          <w:highlight w:val="none"/>
        </w:rPr>
        <w:t>应将药品收支纳入预算管理，严格按照合同约定的时间支付货款。货款结算为银行转账、承兑汇票、供应链等方式，于货物验收合格入库，手续齐全后</w:t>
      </w:r>
      <w:r>
        <w:rPr>
          <w:rFonts w:ascii="Arial" w:hAnsi="Arial" w:cs="Arial"/>
          <w:color w:val="auto"/>
          <w:szCs w:val="21"/>
          <w:highlight w:val="none"/>
          <w:shd w:val="clear" w:color="auto" w:fill="auto"/>
        </w:rPr>
        <w:t>18个月</w:t>
      </w:r>
      <w:r>
        <w:rPr>
          <w:rFonts w:ascii="Arial" w:hAnsi="Arial" w:cs="Arial"/>
          <w:color w:val="auto"/>
          <w:szCs w:val="21"/>
          <w:highlight w:val="none"/>
        </w:rPr>
        <w:t>支付。</w:t>
      </w:r>
    </w:p>
    <w:p>
      <w:pPr>
        <w:adjustRightInd w:val="0"/>
        <w:snapToGrid w:val="0"/>
        <w:spacing w:line="360" w:lineRule="auto"/>
        <w:ind w:firstLine="420" w:firstLineChars="200"/>
        <w:rPr>
          <w:rFonts w:ascii="Arial" w:hAnsi="Arial" w:cs="Arial"/>
          <w:color w:val="auto"/>
          <w:highlight w:val="none"/>
        </w:rPr>
      </w:pPr>
      <w:r>
        <w:rPr>
          <w:rFonts w:hint="eastAsia" w:ascii="Arial" w:hAnsi="Arial" w:cs="Arial"/>
          <w:color w:val="auto"/>
          <w:highlight w:val="none"/>
          <w:lang w:val="en-US" w:eastAsia="zh-CN"/>
        </w:rPr>
        <w:t>5</w:t>
      </w:r>
      <w:r>
        <w:rPr>
          <w:rFonts w:ascii="Arial" w:hAnsi="Arial" w:cs="Arial"/>
          <w:color w:val="auto"/>
          <w:highlight w:val="none"/>
        </w:rPr>
        <w:t>、乙方收款账户如下：</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户名：</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开户行：</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账户：</w:t>
      </w:r>
    </w:p>
    <w:p>
      <w:pPr>
        <w:adjustRightInd w:val="0"/>
        <w:snapToGrid w:val="0"/>
        <w:spacing w:line="360" w:lineRule="auto"/>
        <w:ind w:firstLine="422" w:firstLineChars="200"/>
        <w:rPr>
          <w:rFonts w:ascii="Arial" w:hAnsi="Arial" w:cs="Arial"/>
          <w:b/>
          <w:bCs/>
          <w:color w:val="auto"/>
          <w:highlight w:val="none"/>
        </w:rPr>
      </w:pPr>
      <w:r>
        <w:rPr>
          <w:rFonts w:ascii="Arial" w:hAnsi="Arial" w:cs="Arial"/>
          <w:b/>
          <w:bCs/>
          <w:color w:val="auto"/>
          <w:highlight w:val="none"/>
        </w:rPr>
        <w:t>第六条</w:t>
      </w:r>
      <w:r>
        <w:rPr>
          <w:rFonts w:hint="eastAsia" w:ascii="Arial" w:hAnsi="Arial" w:cs="Arial"/>
          <w:b/>
          <w:bCs/>
          <w:color w:val="auto"/>
          <w:highlight w:val="none"/>
        </w:rPr>
        <w:t xml:space="preserve"> </w:t>
      </w:r>
      <w:r>
        <w:rPr>
          <w:rFonts w:ascii="Arial" w:hAnsi="Arial" w:cs="Arial"/>
          <w:b/>
          <w:bCs/>
          <w:color w:val="auto"/>
          <w:highlight w:val="none"/>
        </w:rPr>
        <w:t>合同履行期限</w:t>
      </w:r>
    </w:p>
    <w:p>
      <w:pPr>
        <w:adjustRightInd w:val="0"/>
        <w:snapToGrid w:val="0"/>
        <w:spacing w:line="360" w:lineRule="auto"/>
        <w:ind w:firstLine="420" w:firstLineChars="200"/>
        <w:rPr>
          <w:rFonts w:hint="eastAsia" w:ascii="Arial" w:hAnsi="Arial" w:cs="Arial"/>
          <w:color w:val="auto"/>
          <w:highlight w:val="none"/>
        </w:rPr>
      </w:pPr>
      <w:r>
        <w:rPr>
          <w:rFonts w:hint="eastAsia" w:ascii="Arial" w:hAnsi="Arial" w:cs="Arial"/>
          <w:color w:val="auto"/>
          <w:highlight w:val="none"/>
          <w:lang w:eastAsia="zh-CN"/>
        </w:rPr>
        <w:t>自签订合同之日起两年</w:t>
      </w:r>
      <w:r>
        <w:rPr>
          <w:rFonts w:ascii="Arial" w:hAnsi="Arial" w:cs="Arial"/>
          <w:color w:val="auto"/>
          <w:highlight w:val="none"/>
        </w:rPr>
        <w:t>，本合同根据实际情况按年度每年签订一次。</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第七条</w:t>
      </w:r>
      <w:r>
        <w:rPr>
          <w:rFonts w:hint="eastAsia" w:ascii="Arial" w:hAnsi="Arial" w:cs="Arial"/>
          <w:b/>
          <w:bCs/>
          <w:color w:val="auto"/>
          <w:highlight w:val="none"/>
        </w:rPr>
        <w:t xml:space="preserve"> </w:t>
      </w:r>
      <w:r>
        <w:rPr>
          <w:rFonts w:ascii="Arial" w:hAnsi="Arial" w:cs="Arial"/>
          <w:b/>
          <w:bCs/>
          <w:color w:val="auto"/>
          <w:highlight w:val="none"/>
        </w:rPr>
        <w:t>权利、义务和责任</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1、甲方有权随时抽查、检验，并对乙方服务质量进行监督。</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2、甲方有权针对乙方的煎煮质量、配送服务等向患者进行满意度测评、考核和惩处。</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3、甲方负责推荐乙方的中药煎煮中心服务模式，并确保项目在医院顺利对接上线，同时为本协议项下的服务提供宣传、流程优化等便利。</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4、甲方负责将需要代煎的药品处方、患者电话、收货地址等详细信息按照双方约定的方式实时传送给乙方，乙方核实确认后反馈甲方。</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5、当出现客诉纠纷时，甲方需协助乙方完成客诉处理。</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6、甲方对所提供的处方的合理性负责，因甲方的处方不合理性导致第三方要求索赔的责任由甲方承担。</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7、因甲方失误造成送达地点或收货人错误的，甲方应承担由此造成的损失和新增加的费用。</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8、乙方提供的药品包装应完好无损，如因配送过程中发生破损由乙方与快递公司承担责任并与患者协商解决。</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9、若因乙方原因导致未能及时将药品送至的定交付对象时，乙方应及时向甲方报备，并做好患者告知工作。</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10、乙方煎煮中心项目实施中如提供虚假文件、提供不合格产品、不足量或不按时供货，给甲方造成实际损失的，乙方应承担相应责任。</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11、因乙方药品安全、质量、调剂、煎煮质量、配送等出现问题，乙方应承担责任。如因此产生投诉、诉讼等纠纷或质量、安全问题，由乙方承担相应责任并负责解决：如因此致甲方涉诉的，乙方应承担由此给甲方造成的损失，包括不限于经济赔偿、诉讼费、律师费等。</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12、甲方对乙方的模式、流程以及服务等具有保密的义务，未经乙方同意不得向第三方透漏运营细节。乙方不得泄露甲方提供的任何处方信息及患者信息，未经甲方允许不得私自用于任何商业用途，甲乙双方按双方约定的安全手段保障各自的网络和系统安全。</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13、甲方对系统数据享有所有权、知情权、支配权等甲方需要主张的权利。</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第八条</w:t>
      </w:r>
      <w:r>
        <w:rPr>
          <w:rFonts w:hint="eastAsia" w:ascii="Arial" w:hAnsi="Arial" w:cs="Arial"/>
          <w:b/>
          <w:bCs/>
          <w:color w:val="auto"/>
          <w:highlight w:val="none"/>
        </w:rPr>
        <w:t xml:space="preserve"> </w:t>
      </w:r>
      <w:r>
        <w:rPr>
          <w:rFonts w:ascii="Arial" w:hAnsi="Arial" w:cs="Arial"/>
          <w:b/>
          <w:bCs/>
          <w:color w:val="auto"/>
          <w:highlight w:val="none"/>
        </w:rPr>
        <w:t>争议解决</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对于实施本协议而发生的任何争议，双方首先应当通过友好协商方式解决，协商不成，任何一方均可向甲方所在地人民法院提起诉讼。</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第九条</w:t>
      </w:r>
      <w:r>
        <w:rPr>
          <w:rFonts w:hint="eastAsia" w:ascii="Arial" w:hAnsi="Arial" w:cs="Arial"/>
          <w:b/>
          <w:bCs/>
          <w:color w:val="auto"/>
          <w:highlight w:val="none"/>
        </w:rPr>
        <w:t xml:space="preserve"> </w:t>
      </w:r>
      <w:r>
        <w:rPr>
          <w:rFonts w:ascii="Arial" w:hAnsi="Arial" w:cs="Arial"/>
          <w:b/>
          <w:bCs/>
          <w:color w:val="auto"/>
          <w:highlight w:val="none"/>
        </w:rPr>
        <w:t>不可抗力</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1、合同双方或一方因不可抗力而导致合同实施延误或不能履行合同义务，不承担误期赔偿或终止合同的责任。</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2、本条所述的“不可抗力”是指合同双方无法控制、不可预见、疫情等其它事件，但不包括合同某一方的违约或疏忽。这些事件包括但不限于：战争、严重火灾、洪水、台风、地震及其它双方商定的事件。</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3、在不可抗力事件发生后，合同双方应尽快以书面形式将不可抗力的情况和原因通知对方。除另行特殊要求外，合同双方应尽实际可能继续履行合同义务，以及寻求采取合理的方案履行不受不可抗力影响的其他事项。不可抗力事件影响消除后，双方可通过协商在合理的时间内达成进一步履行合同的协议。</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第十条</w:t>
      </w:r>
      <w:r>
        <w:rPr>
          <w:rFonts w:hint="eastAsia" w:ascii="Arial" w:hAnsi="Arial" w:cs="Arial"/>
          <w:b/>
          <w:bCs/>
          <w:color w:val="auto"/>
          <w:highlight w:val="none"/>
        </w:rPr>
        <w:t xml:space="preserve"> </w:t>
      </w:r>
      <w:r>
        <w:rPr>
          <w:rFonts w:ascii="Arial" w:hAnsi="Arial" w:cs="Arial"/>
          <w:b/>
          <w:bCs/>
          <w:color w:val="auto"/>
          <w:highlight w:val="none"/>
        </w:rPr>
        <w:t>合同的变更及解除</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由于企业的关、停、并、转等原因造成合同不能履行的，乙方应及时向甲方通报并提供省级以上药监部门证明，双方可解除本合同，合同如需变更，须经双方协商解决。</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乙方如破产或无清偿能力，应及时以书面形式通知甲方，甲方有权在任何时候以书面形式通知乙方终止合同。</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第十一条</w:t>
      </w:r>
      <w:r>
        <w:rPr>
          <w:rFonts w:hint="eastAsia" w:ascii="Arial" w:hAnsi="Arial" w:cs="Arial"/>
          <w:b/>
          <w:bCs/>
          <w:color w:val="auto"/>
          <w:highlight w:val="none"/>
        </w:rPr>
        <w:t xml:space="preserve"> </w:t>
      </w:r>
      <w:r>
        <w:rPr>
          <w:rFonts w:ascii="Arial" w:hAnsi="Arial" w:cs="Arial"/>
          <w:b/>
          <w:bCs/>
          <w:color w:val="auto"/>
          <w:highlight w:val="none"/>
        </w:rPr>
        <w:t>争议的解决</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highlight w:val="none"/>
        </w:rPr>
        <w:t>因合同引起或与本合同有关的任何争议，由甲乙双方协商解决；也可以向有关部门申请调解。协商或调解不成，甲乙双方均可向甲方所在地人民法院提起诉讼。</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第十二条</w:t>
      </w:r>
      <w:r>
        <w:rPr>
          <w:rFonts w:hint="eastAsia" w:ascii="Arial" w:hAnsi="Arial" w:cs="Arial"/>
          <w:b/>
          <w:bCs/>
          <w:color w:val="auto"/>
          <w:highlight w:val="none"/>
        </w:rPr>
        <w:t xml:space="preserve"> </w:t>
      </w:r>
      <w:r>
        <w:rPr>
          <w:rFonts w:ascii="Arial" w:hAnsi="Arial" w:cs="Arial"/>
          <w:b/>
          <w:bCs/>
          <w:color w:val="auto"/>
          <w:highlight w:val="none"/>
        </w:rPr>
        <w:t>其他</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本合同未尽事项，按国家相关文件执行。仍然无法确定的，经双方共同协商，可根据相关法律法规签订补充协议，补充协议与正式合同具有同等法律效力。</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本合同全部条款只对甲乙双方有效，双方均对本合同负有保密义务，不得作为其他用途使用，也不得私自向任何第三方公开。</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自甲乙双方签字、盖章之日起生效，至</w:t>
      </w:r>
      <w:r>
        <w:rPr>
          <w:rFonts w:hint="eastAsia" w:ascii="Arial" w:hAnsi="Arial" w:cs="Arial"/>
          <w:color w:val="auto"/>
          <w:highlight w:val="none"/>
        </w:rPr>
        <w:t xml:space="preserve">   </w:t>
      </w:r>
      <w:r>
        <w:rPr>
          <w:rFonts w:ascii="Arial" w:hAnsi="Arial" w:cs="Arial"/>
          <w:color w:val="auto"/>
          <w:highlight w:val="none"/>
        </w:rPr>
        <w:t xml:space="preserve"> 年   月   日止。在合同期内发生的各项事宜，均受本合同的约束。</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本合同到期前，双方根据具体情况商议续签事宜。如需重新确定代煎提供商，在同等条件下乙方享有优先权。</w:t>
      </w:r>
    </w:p>
    <w:p>
      <w:pPr>
        <w:adjustRightInd w:val="0"/>
        <w:snapToGrid w:val="0"/>
        <w:spacing w:line="360" w:lineRule="auto"/>
        <w:ind w:firstLine="422" w:firstLineChars="200"/>
        <w:rPr>
          <w:rFonts w:hint="eastAsia" w:ascii="Arial" w:hAnsi="Arial" w:cs="Arial"/>
          <w:b/>
          <w:bCs/>
          <w:color w:val="auto"/>
          <w:highlight w:val="none"/>
        </w:rPr>
      </w:pPr>
      <w:r>
        <w:rPr>
          <w:rFonts w:ascii="Arial" w:hAnsi="Arial" w:cs="Arial"/>
          <w:b/>
          <w:bCs/>
          <w:color w:val="auto"/>
          <w:highlight w:val="none"/>
        </w:rPr>
        <w:t>第十三条</w:t>
      </w:r>
      <w:r>
        <w:rPr>
          <w:rFonts w:hint="eastAsia" w:ascii="Arial" w:hAnsi="Arial" w:cs="Arial"/>
          <w:b/>
          <w:bCs/>
          <w:color w:val="auto"/>
          <w:highlight w:val="none"/>
        </w:rPr>
        <w:t xml:space="preserve"> </w:t>
      </w:r>
      <w:r>
        <w:rPr>
          <w:rFonts w:ascii="Arial" w:hAnsi="Arial" w:cs="Arial"/>
          <w:b/>
          <w:bCs/>
          <w:color w:val="auto"/>
          <w:highlight w:val="none"/>
        </w:rPr>
        <w:t>签订本合同依据：</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采购文件；</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乙方提供的投标（或应答）文件；</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售后服务；</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中标通知书。</w:t>
      </w:r>
    </w:p>
    <w:p>
      <w:pPr>
        <w:adjustRightInd w:val="0"/>
        <w:snapToGrid w:val="0"/>
        <w:spacing w:line="360" w:lineRule="auto"/>
        <w:ind w:firstLine="420" w:firstLineChars="200"/>
        <w:rPr>
          <w:rFonts w:hint="eastAsia" w:ascii="Arial" w:hAnsi="Arial" w:cs="Arial"/>
          <w:color w:val="auto"/>
          <w:highlight w:val="none"/>
        </w:rPr>
      </w:pPr>
      <w:r>
        <w:rPr>
          <w:rFonts w:ascii="Arial" w:hAnsi="Arial" w:cs="Arial"/>
          <w:color w:val="auto"/>
          <w:highlight w:val="none"/>
        </w:rPr>
        <w:t>本合同甲乙双方签字盖章后生效，一式伍份，具有同等法律效力，甲、乙双方各贰份。采购合同双方自签订之日起一个工作日内将合同原件一份交采购代理机构存档。</w:t>
      </w:r>
    </w:p>
    <w:p>
      <w:pPr>
        <w:adjustRightInd w:val="0"/>
        <w:snapToGrid w:val="0"/>
        <w:spacing w:line="300" w:lineRule="auto"/>
        <w:rPr>
          <w:rFonts w:ascii="Arial" w:hAnsi="Arial" w:cs="Arial"/>
          <w:color w:val="auto"/>
          <w:szCs w:val="21"/>
          <w:highlight w:val="none"/>
        </w:rPr>
      </w:pPr>
    </w:p>
    <w:p>
      <w:pPr>
        <w:pStyle w:val="21"/>
        <w:adjustRightInd w:val="0"/>
        <w:snapToGrid w:val="0"/>
        <w:spacing w:line="300" w:lineRule="auto"/>
        <w:ind w:firstLine="420" w:firstLineChars="200"/>
        <w:rPr>
          <w:rFonts w:ascii="Arial" w:hAnsi="Arial" w:cs="Arial"/>
          <w:color w:val="auto"/>
          <w:sz w:val="21"/>
          <w:szCs w:val="21"/>
          <w:highlight w:val="none"/>
        </w:rPr>
      </w:pPr>
    </w:p>
    <w:p>
      <w:pPr>
        <w:adjustRightInd w:val="0"/>
        <w:snapToGrid w:val="0"/>
        <w:spacing w:line="300" w:lineRule="auto"/>
        <w:ind w:firstLine="400" w:firstLineChars="200"/>
        <w:rPr>
          <w:rFonts w:ascii="Arial" w:hAnsi="Arial" w:cs="Arial"/>
          <w:color w:val="auto"/>
          <w:spacing w:val="-5"/>
          <w:szCs w:val="21"/>
          <w:highlight w:val="none"/>
        </w:rPr>
      </w:pPr>
      <w:r>
        <w:rPr>
          <w:rFonts w:ascii="Arial" w:hAnsi="Arial" w:cs="Arial"/>
          <w:color w:val="auto"/>
          <w:spacing w:val="-5"/>
          <w:szCs w:val="21"/>
          <w:highlight w:val="none"/>
        </w:rPr>
        <w:t xml:space="preserve">甲方名称（公章）：                            乙方名称（公章）：                          </w:t>
      </w:r>
    </w:p>
    <w:p>
      <w:pPr>
        <w:adjustRightInd w:val="0"/>
        <w:snapToGrid w:val="0"/>
        <w:spacing w:line="300" w:lineRule="auto"/>
        <w:ind w:firstLine="400" w:firstLineChars="200"/>
        <w:rPr>
          <w:rFonts w:ascii="Arial" w:hAnsi="Arial" w:cs="Arial"/>
          <w:color w:val="auto"/>
          <w:spacing w:val="-5"/>
          <w:szCs w:val="21"/>
          <w:highlight w:val="none"/>
        </w:rPr>
      </w:pPr>
      <w:r>
        <w:rPr>
          <w:rFonts w:ascii="Arial" w:hAnsi="Arial" w:cs="Arial"/>
          <w:color w:val="auto"/>
          <w:spacing w:val="-5"/>
          <w:szCs w:val="21"/>
          <w:highlight w:val="none"/>
        </w:rPr>
        <w:t xml:space="preserve">法定代表人：                                </w:t>
      </w:r>
      <w:r>
        <w:rPr>
          <w:rFonts w:hint="eastAsia" w:ascii="Arial" w:hAnsi="Arial" w:cs="Arial"/>
          <w:color w:val="auto"/>
          <w:spacing w:val="-5"/>
          <w:szCs w:val="21"/>
          <w:highlight w:val="none"/>
        </w:rPr>
        <w:t xml:space="preserve"> </w:t>
      </w:r>
      <w:r>
        <w:rPr>
          <w:rFonts w:ascii="Arial" w:hAnsi="Arial" w:cs="Arial"/>
          <w:color w:val="auto"/>
          <w:spacing w:val="-5"/>
          <w:szCs w:val="21"/>
          <w:highlight w:val="none"/>
        </w:rPr>
        <w:t xml:space="preserve"> 法定代表人：                                  </w:t>
      </w:r>
    </w:p>
    <w:p>
      <w:pPr>
        <w:adjustRightInd w:val="0"/>
        <w:snapToGrid w:val="0"/>
        <w:spacing w:line="300" w:lineRule="auto"/>
        <w:ind w:firstLine="400" w:firstLineChars="200"/>
        <w:rPr>
          <w:rFonts w:ascii="Arial" w:hAnsi="Arial" w:cs="Arial"/>
          <w:color w:val="auto"/>
          <w:spacing w:val="-5"/>
          <w:szCs w:val="21"/>
          <w:highlight w:val="none"/>
        </w:rPr>
      </w:pPr>
      <w:r>
        <w:rPr>
          <w:rFonts w:ascii="Arial" w:hAnsi="Arial" w:cs="Arial"/>
          <w:color w:val="auto"/>
          <w:spacing w:val="-5"/>
          <w:szCs w:val="21"/>
          <w:highlight w:val="none"/>
        </w:rPr>
        <w:t xml:space="preserve">委托代理人：                              </w:t>
      </w:r>
      <w:r>
        <w:rPr>
          <w:rFonts w:hint="eastAsia" w:ascii="Arial" w:hAnsi="Arial" w:cs="Arial"/>
          <w:color w:val="auto"/>
          <w:spacing w:val="-5"/>
          <w:szCs w:val="21"/>
          <w:highlight w:val="none"/>
        </w:rPr>
        <w:t xml:space="preserve">  </w:t>
      </w:r>
      <w:r>
        <w:rPr>
          <w:rFonts w:ascii="Arial" w:hAnsi="Arial" w:cs="Arial"/>
          <w:color w:val="auto"/>
          <w:spacing w:val="-5"/>
          <w:szCs w:val="21"/>
          <w:highlight w:val="none"/>
        </w:rPr>
        <w:t xml:space="preserve"> 委托代理人：                                  </w:t>
      </w:r>
    </w:p>
    <w:p>
      <w:pPr>
        <w:adjustRightInd w:val="0"/>
        <w:snapToGrid w:val="0"/>
        <w:spacing w:line="300" w:lineRule="auto"/>
        <w:ind w:firstLine="400" w:firstLineChars="200"/>
        <w:rPr>
          <w:rFonts w:ascii="Arial" w:hAnsi="Arial" w:cs="Arial"/>
          <w:color w:val="auto"/>
          <w:spacing w:val="-5"/>
          <w:szCs w:val="21"/>
          <w:highlight w:val="none"/>
        </w:rPr>
      </w:pPr>
      <w:r>
        <w:rPr>
          <w:rFonts w:ascii="Arial" w:hAnsi="Arial" w:cs="Arial"/>
          <w:color w:val="auto"/>
          <w:spacing w:val="-5"/>
          <w:szCs w:val="21"/>
          <w:highlight w:val="none"/>
        </w:rPr>
        <w:t xml:space="preserve">电  话：                                  </w:t>
      </w:r>
      <w:r>
        <w:rPr>
          <w:rFonts w:hint="eastAsia" w:ascii="Arial" w:hAnsi="Arial" w:cs="Arial"/>
          <w:color w:val="auto"/>
          <w:spacing w:val="-5"/>
          <w:szCs w:val="21"/>
          <w:highlight w:val="none"/>
        </w:rPr>
        <w:t xml:space="preserve">  </w:t>
      </w:r>
      <w:r>
        <w:rPr>
          <w:rFonts w:ascii="Arial" w:hAnsi="Arial" w:cs="Arial"/>
          <w:color w:val="auto"/>
          <w:spacing w:val="-5"/>
          <w:szCs w:val="21"/>
          <w:highlight w:val="none"/>
        </w:rPr>
        <w:t xml:space="preserve">  电   话：                                    </w:t>
      </w:r>
    </w:p>
    <w:p>
      <w:pPr>
        <w:adjustRightInd w:val="0"/>
        <w:snapToGrid w:val="0"/>
        <w:spacing w:line="300" w:lineRule="auto"/>
        <w:ind w:firstLine="400" w:firstLineChars="200"/>
        <w:rPr>
          <w:rFonts w:ascii="Arial" w:hAnsi="Arial" w:cs="Arial"/>
          <w:color w:val="auto"/>
          <w:spacing w:val="-5"/>
          <w:szCs w:val="21"/>
          <w:highlight w:val="none"/>
        </w:rPr>
      </w:pPr>
      <w:r>
        <w:rPr>
          <w:rFonts w:ascii="Arial" w:hAnsi="Arial" w:cs="Arial"/>
          <w:color w:val="auto"/>
          <w:spacing w:val="-5"/>
          <w:szCs w:val="21"/>
          <w:highlight w:val="none"/>
        </w:rPr>
        <w:t xml:space="preserve">开户名称：                                   开户名称：                                  </w:t>
      </w:r>
    </w:p>
    <w:p>
      <w:pPr>
        <w:adjustRightInd w:val="0"/>
        <w:snapToGrid w:val="0"/>
        <w:spacing w:line="300" w:lineRule="auto"/>
        <w:ind w:firstLine="400" w:firstLineChars="200"/>
        <w:rPr>
          <w:rFonts w:ascii="Arial" w:hAnsi="Arial" w:cs="Arial"/>
          <w:color w:val="auto"/>
          <w:spacing w:val="-5"/>
          <w:szCs w:val="21"/>
          <w:highlight w:val="none"/>
        </w:rPr>
      </w:pPr>
      <w:r>
        <w:rPr>
          <w:rFonts w:ascii="Arial" w:hAnsi="Arial" w:cs="Arial"/>
          <w:color w:val="auto"/>
          <w:spacing w:val="-5"/>
          <w:szCs w:val="21"/>
          <w:highlight w:val="none"/>
        </w:rPr>
        <w:t xml:space="preserve">开户银行：                                   开户银行：                                  </w:t>
      </w:r>
    </w:p>
    <w:p>
      <w:pPr>
        <w:adjustRightInd w:val="0"/>
        <w:snapToGrid w:val="0"/>
        <w:spacing w:line="300" w:lineRule="auto"/>
        <w:ind w:firstLine="400" w:firstLineChars="200"/>
        <w:rPr>
          <w:rFonts w:ascii="Arial" w:hAnsi="Arial" w:cs="Arial"/>
          <w:color w:val="auto"/>
          <w:spacing w:val="-5"/>
          <w:szCs w:val="21"/>
          <w:highlight w:val="none"/>
        </w:rPr>
      </w:pPr>
      <w:r>
        <w:rPr>
          <w:rFonts w:ascii="Arial" w:hAnsi="Arial" w:cs="Arial"/>
          <w:color w:val="auto"/>
          <w:spacing w:val="-5"/>
          <w:szCs w:val="21"/>
          <w:highlight w:val="none"/>
        </w:rPr>
        <w:t xml:space="preserve">银行账号：                                   银行账号：                                  </w:t>
      </w:r>
    </w:p>
    <w:p>
      <w:pPr>
        <w:adjustRightInd w:val="0"/>
        <w:snapToGrid w:val="0"/>
        <w:spacing w:line="300" w:lineRule="auto"/>
        <w:ind w:firstLine="400" w:firstLineChars="200"/>
        <w:rPr>
          <w:rFonts w:ascii="宋体" w:hAnsi="宋体" w:cs="宋体"/>
          <w:color w:val="auto"/>
          <w:szCs w:val="21"/>
          <w:highlight w:val="none"/>
        </w:rPr>
        <w:sectPr>
          <w:footerReference r:id="rId13" w:type="default"/>
          <w:pgSz w:w="11907" w:h="16839"/>
          <w:pgMar w:top="1417" w:right="1241" w:bottom="1417" w:left="1425" w:header="0" w:footer="931" w:gutter="0"/>
          <w:cols w:space="720" w:num="1"/>
        </w:sectPr>
      </w:pPr>
      <w:r>
        <w:rPr>
          <w:rFonts w:ascii="Arial" w:hAnsi="Arial" w:cs="Arial"/>
          <w:color w:val="auto"/>
          <w:spacing w:val="-5"/>
          <w:szCs w:val="21"/>
          <w:highlight w:val="none"/>
        </w:rPr>
        <w:t xml:space="preserve">日     期：                                   日     期：           </w:t>
      </w:r>
      <w:r>
        <w:rPr>
          <w:rFonts w:ascii="宋体" w:hAnsi="宋体" w:cs="宋体"/>
          <w:color w:val="auto"/>
          <w:szCs w:val="21"/>
          <w:highlight w:val="none"/>
        </w:rPr>
        <w:t xml:space="preserve">                        </w:t>
      </w:r>
    </w:p>
    <w:p>
      <w:pPr>
        <w:pStyle w:val="2"/>
        <w:spacing w:line="360" w:lineRule="auto"/>
        <w:jc w:val="both"/>
        <w:rPr>
          <w:rFonts w:ascii="Arial" w:hAnsi="Arial" w:eastAsia="宋体" w:cs="Arial"/>
          <w:b/>
          <w:bCs w:val="0"/>
          <w:color w:val="auto"/>
          <w:szCs w:val="32"/>
          <w:highlight w:val="none"/>
        </w:rPr>
      </w:pPr>
    </w:p>
    <w:p>
      <w:pPr>
        <w:pStyle w:val="30"/>
        <w:spacing w:line="20" w:lineRule="exact"/>
        <w:outlineLvl w:val="0"/>
        <w:rPr>
          <w:rFonts w:ascii="Arial" w:hAnsi="Arial" w:cs="Arial"/>
          <w:color w:val="auto"/>
          <w:highlight w:val="none"/>
        </w:rPr>
      </w:pPr>
    </w:p>
    <w:p>
      <w:pPr>
        <w:pStyle w:val="2"/>
        <w:spacing w:line="360" w:lineRule="auto"/>
        <w:rPr>
          <w:rFonts w:ascii="Arial" w:hAnsi="Arial" w:eastAsia="宋体" w:cs="Arial"/>
          <w:b/>
          <w:bCs w:val="0"/>
          <w:color w:val="auto"/>
          <w:szCs w:val="32"/>
          <w:highlight w:val="none"/>
        </w:rPr>
      </w:pPr>
      <w:bookmarkStart w:id="282" w:name="_Toc20278"/>
      <w:r>
        <w:rPr>
          <w:rFonts w:ascii="Arial" w:hAnsi="Arial" w:eastAsia="宋体" w:cs="Arial"/>
          <w:b/>
          <w:bCs w:val="0"/>
          <w:color w:val="auto"/>
          <w:szCs w:val="32"/>
          <w:highlight w:val="none"/>
        </w:rPr>
        <w:t>第五章  评审方法及评审标准</w:t>
      </w:r>
      <w:bookmarkEnd w:id="282"/>
    </w:p>
    <w:p>
      <w:pPr>
        <w:pStyle w:val="30"/>
        <w:spacing w:line="400" w:lineRule="exact"/>
        <w:ind w:firstLine="413" w:firstLineChars="196"/>
        <w:jc w:val="left"/>
        <w:rPr>
          <w:rFonts w:ascii="Arial" w:hAnsi="Arial" w:cs="Arial"/>
          <w:b/>
          <w:bCs/>
          <w:color w:val="auto"/>
          <w:highlight w:val="none"/>
        </w:rPr>
      </w:pPr>
      <w:r>
        <w:rPr>
          <w:rFonts w:ascii="Arial" w:hAnsi="Arial" w:cs="Arial"/>
          <w:b/>
          <w:bCs/>
          <w:color w:val="auto"/>
          <w:highlight w:val="none"/>
        </w:rPr>
        <w:t>一、评审依据及方式</w:t>
      </w:r>
    </w:p>
    <w:p>
      <w:pPr>
        <w:pStyle w:val="30"/>
        <w:spacing w:line="400" w:lineRule="exact"/>
        <w:ind w:firstLine="420" w:firstLineChars="200"/>
        <w:jc w:val="left"/>
        <w:rPr>
          <w:rFonts w:ascii="Arial" w:hAnsi="Arial" w:cs="Arial"/>
          <w:color w:val="auto"/>
          <w:highlight w:val="none"/>
        </w:rPr>
      </w:pPr>
      <w:r>
        <w:rPr>
          <w:rFonts w:ascii="Arial" w:hAnsi="Arial" w:cs="Arial"/>
          <w:color w:val="auto"/>
          <w:highlight w:val="none"/>
        </w:rPr>
        <w:t>1.</w:t>
      </w:r>
      <w:r>
        <w:rPr>
          <w:rFonts w:ascii="Arial" w:hAnsi="Arial" w:cs="Arial"/>
          <w:color w:val="auto"/>
          <w:highlight w:val="none"/>
          <w:lang w:eastAsia="ar-SA"/>
        </w:rPr>
        <w:t>磋商小组成员构成：本采购项目的磋商小组成员分别由依法组成的专家、采购人代表共</w:t>
      </w:r>
      <w:r>
        <w:rPr>
          <w:rFonts w:ascii="Arial" w:hAnsi="Arial" w:cs="Arial"/>
          <w:color w:val="auto"/>
          <w:highlight w:val="none"/>
        </w:rPr>
        <w:t>三</w:t>
      </w:r>
      <w:r>
        <w:rPr>
          <w:rFonts w:ascii="Arial" w:hAnsi="Arial" w:cs="Arial"/>
          <w:color w:val="auto"/>
          <w:highlight w:val="none"/>
          <w:lang w:eastAsia="ar-SA"/>
        </w:rPr>
        <w:t>人</w:t>
      </w:r>
      <w:r>
        <w:rPr>
          <w:rFonts w:ascii="Arial" w:hAnsi="Arial" w:cs="Arial"/>
          <w:color w:val="auto"/>
          <w:highlight w:val="none"/>
        </w:rPr>
        <w:t>及</w:t>
      </w:r>
      <w:r>
        <w:rPr>
          <w:rFonts w:ascii="Arial" w:hAnsi="Arial" w:cs="Arial"/>
          <w:color w:val="auto"/>
          <w:highlight w:val="none"/>
          <w:lang w:eastAsia="ar-SA"/>
        </w:rPr>
        <w:t>以上单数构成，其中专家人数不少于成员总数的三分之二</w:t>
      </w:r>
      <w:r>
        <w:rPr>
          <w:rFonts w:ascii="Arial" w:hAnsi="Arial" w:cs="Arial"/>
          <w:color w:val="auto"/>
          <w:highlight w:val="none"/>
        </w:rPr>
        <w:t>。</w:t>
      </w:r>
    </w:p>
    <w:p>
      <w:pPr>
        <w:pStyle w:val="30"/>
        <w:spacing w:line="400" w:lineRule="exact"/>
        <w:ind w:firstLine="420" w:firstLineChars="200"/>
        <w:jc w:val="left"/>
        <w:rPr>
          <w:rFonts w:ascii="Arial" w:hAnsi="Arial" w:cs="Arial"/>
          <w:color w:val="auto"/>
          <w:highlight w:val="none"/>
        </w:rPr>
      </w:pPr>
      <w:r>
        <w:rPr>
          <w:rFonts w:ascii="Arial" w:hAnsi="Arial" w:cs="Arial"/>
          <w:color w:val="auto"/>
          <w:highlight w:val="none"/>
        </w:rPr>
        <w:t>2.评审依据：磋商小组以磋商文件和响应文件为评审依据，对供应商的磋商报价、技术指标、</w:t>
      </w:r>
      <w:r>
        <w:rPr>
          <w:rFonts w:hint="eastAsia" w:ascii="Arial" w:hAnsi="Arial" w:cs="Arial"/>
          <w:color w:val="auto"/>
          <w:highlight w:val="none"/>
        </w:rPr>
        <w:t>整体服务方案、</w:t>
      </w:r>
      <w:r>
        <w:rPr>
          <w:rFonts w:ascii="Arial" w:hAnsi="Arial" w:cs="Arial"/>
          <w:color w:val="auto"/>
          <w:highlight w:val="none"/>
        </w:rPr>
        <w:t>售后服务方案等方面内容按百分制打分。</w:t>
      </w:r>
    </w:p>
    <w:p>
      <w:pPr>
        <w:pStyle w:val="30"/>
        <w:spacing w:line="400" w:lineRule="exact"/>
        <w:ind w:left="210" w:leftChars="100" w:firstLine="210" w:firstLineChars="100"/>
        <w:jc w:val="left"/>
        <w:rPr>
          <w:rFonts w:ascii="Arial" w:hAnsi="Arial" w:cs="Arial"/>
          <w:color w:val="auto"/>
          <w:highlight w:val="none"/>
        </w:rPr>
      </w:pPr>
      <w:r>
        <w:rPr>
          <w:rFonts w:ascii="Arial" w:hAnsi="Arial" w:cs="Arial"/>
          <w:color w:val="auto"/>
          <w:highlight w:val="none"/>
        </w:rPr>
        <w:t>3..评审方式：以封闭方式进行评审。</w:t>
      </w:r>
    </w:p>
    <w:p>
      <w:pPr>
        <w:pStyle w:val="30"/>
        <w:spacing w:line="400" w:lineRule="exact"/>
        <w:ind w:left="210" w:leftChars="100" w:firstLine="210" w:firstLineChars="100"/>
        <w:jc w:val="left"/>
        <w:rPr>
          <w:rFonts w:ascii="Arial" w:hAnsi="Arial" w:cs="Arial"/>
          <w:color w:val="auto"/>
          <w:highlight w:val="none"/>
        </w:rPr>
      </w:pPr>
      <w:r>
        <w:rPr>
          <w:rFonts w:ascii="Arial" w:hAnsi="Arial" w:cs="Arial"/>
          <w:color w:val="auto"/>
          <w:highlight w:val="none"/>
        </w:rPr>
        <w:t>4.评审程序</w:t>
      </w:r>
    </w:p>
    <w:p>
      <w:pPr>
        <w:pStyle w:val="30"/>
        <w:spacing w:line="400" w:lineRule="exact"/>
        <w:ind w:left="210" w:leftChars="100" w:firstLine="210" w:firstLineChars="100"/>
        <w:jc w:val="left"/>
        <w:rPr>
          <w:rFonts w:ascii="Arial" w:hAnsi="Arial" w:cs="Arial"/>
          <w:color w:val="auto"/>
          <w:highlight w:val="none"/>
        </w:rPr>
      </w:pPr>
      <w:r>
        <w:rPr>
          <w:rFonts w:ascii="Arial" w:hAnsi="Arial" w:cs="Arial"/>
          <w:color w:val="auto"/>
          <w:highlight w:val="none"/>
        </w:rPr>
        <w:t>（1）审查响应文件。</w:t>
      </w:r>
    </w:p>
    <w:p>
      <w:pPr>
        <w:pStyle w:val="30"/>
        <w:spacing w:line="400" w:lineRule="exact"/>
        <w:ind w:left="210" w:leftChars="100" w:firstLine="210" w:firstLineChars="100"/>
        <w:jc w:val="left"/>
        <w:rPr>
          <w:rFonts w:ascii="Arial" w:hAnsi="Arial" w:cs="Arial"/>
          <w:color w:val="auto"/>
          <w:highlight w:val="none"/>
        </w:rPr>
      </w:pPr>
      <w:r>
        <w:rPr>
          <w:rFonts w:ascii="Arial" w:hAnsi="Arial" w:cs="Arial"/>
          <w:color w:val="auto"/>
          <w:highlight w:val="none"/>
        </w:rPr>
        <w:t>（2）磋商。</w:t>
      </w:r>
    </w:p>
    <w:p>
      <w:pPr>
        <w:pStyle w:val="30"/>
        <w:spacing w:line="400" w:lineRule="exact"/>
        <w:ind w:left="210" w:leftChars="100" w:firstLine="210" w:firstLineChars="100"/>
        <w:jc w:val="left"/>
        <w:rPr>
          <w:rFonts w:ascii="Arial" w:hAnsi="Arial" w:cs="Arial"/>
          <w:color w:val="auto"/>
          <w:highlight w:val="none"/>
        </w:rPr>
      </w:pPr>
      <w:r>
        <w:rPr>
          <w:rFonts w:ascii="Arial" w:hAnsi="Arial" w:cs="Arial"/>
          <w:color w:val="auto"/>
          <w:highlight w:val="none"/>
        </w:rPr>
        <w:t>（3）重新提交响应文件（如磋商文件有实质性变动或磋商后确定最终解决方案）。</w:t>
      </w:r>
    </w:p>
    <w:p>
      <w:pPr>
        <w:pStyle w:val="30"/>
        <w:spacing w:line="400" w:lineRule="exact"/>
        <w:ind w:left="210" w:leftChars="100" w:firstLine="210" w:firstLineChars="100"/>
        <w:jc w:val="left"/>
        <w:rPr>
          <w:rFonts w:ascii="Arial" w:hAnsi="Arial" w:cs="Arial"/>
          <w:color w:val="auto"/>
          <w:highlight w:val="none"/>
        </w:rPr>
      </w:pPr>
      <w:r>
        <w:rPr>
          <w:rFonts w:ascii="Arial" w:hAnsi="Arial" w:cs="Arial"/>
          <w:color w:val="auto"/>
          <w:highlight w:val="none"/>
        </w:rPr>
        <w:t>（4）最后报价。</w:t>
      </w:r>
    </w:p>
    <w:p>
      <w:pPr>
        <w:pStyle w:val="30"/>
        <w:spacing w:line="400" w:lineRule="exact"/>
        <w:ind w:left="210" w:leftChars="100" w:firstLine="210" w:firstLineChars="100"/>
        <w:jc w:val="left"/>
        <w:rPr>
          <w:rFonts w:ascii="Arial" w:hAnsi="Arial" w:cs="Arial"/>
          <w:color w:val="auto"/>
          <w:highlight w:val="none"/>
        </w:rPr>
      </w:pPr>
      <w:r>
        <w:rPr>
          <w:rFonts w:ascii="Arial" w:hAnsi="Arial" w:cs="Arial"/>
          <w:color w:val="auto"/>
          <w:highlight w:val="none"/>
        </w:rPr>
        <w:t>（5）评审，推荐成交候选供应商名单。</w:t>
      </w:r>
    </w:p>
    <w:p>
      <w:pPr>
        <w:pStyle w:val="30"/>
        <w:spacing w:line="400" w:lineRule="exact"/>
        <w:ind w:firstLine="422" w:firstLineChars="200"/>
        <w:jc w:val="left"/>
        <w:rPr>
          <w:rFonts w:ascii="Arial" w:hAnsi="Arial" w:cs="Arial"/>
          <w:b/>
          <w:bCs/>
          <w:color w:val="auto"/>
          <w:highlight w:val="none"/>
        </w:rPr>
      </w:pPr>
      <w:r>
        <w:rPr>
          <w:rFonts w:ascii="Arial" w:hAnsi="Arial" w:cs="Arial"/>
          <w:b/>
          <w:bCs/>
          <w:color w:val="auto"/>
          <w:highlight w:val="none"/>
        </w:rPr>
        <w:t>二、评审办法</w:t>
      </w:r>
    </w:p>
    <w:p>
      <w:pPr>
        <w:pStyle w:val="30"/>
        <w:spacing w:line="400" w:lineRule="exact"/>
        <w:ind w:firstLine="420" w:firstLineChars="200"/>
        <w:jc w:val="left"/>
        <w:rPr>
          <w:rFonts w:ascii="Arial" w:hAnsi="Arial" w:cs="Arial"/>
          <w:bCs/>
          <w:color w:val="auto"/>
          <w:highlight w:val="none"/>
        </w:rPr>
      </w:pPr>
      <w:r>
        <w:rPr>
          <w:rFonts w:ascii="Arial" w:hAnsi="Arial" w:cs="Arial"/>
          <w:bCs/>
          <w:color w:val="auto"/>
          <w:highlight w:val="none"/>
        </w:rPr>
        <w:t>（一）对进入详评的，采用综合评分法。</w:t>
      </w:r>
    </w:p>
    <w:p>
      <w:pPr>
        <w:pStyle w:val="30"/>
        <w:spacing w:line="400" w:lineRule="exact"/>
        <w:ind w:left="210" w:leftChars="100" w:firstLine="210" w:firstLineChars="100"/>
        <w:jc w:val="left"/>
        <w:rPr>
          <w:rFonts w:ascii="Arial" w:hAnsi="Arial" w:cs="Arial"/>
          <w:bCs/>
          <w:color w:val="auto"/>
          <w:highlight w:val="none"/>
        </w:rPr>
      </w:pPr>
      <w:r>
        <w:rPr>
          <w:rFonts w:ascii="Arial" w:hAnsi="Arial" w:cs="Arial"/>
          <w:bCs/>
          <w:color w:val="auto"/>
          <w:highlight w:val="none"/>
        </w:rPr>
        <w:t>（二）计分办法（按四舍五入取至小数点后二位）</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1376"/>
        <w:gridCol w:w="6572"/>
        <w:gridCol w:w="1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
                <w:color w:val="auto"/>
                <w:szCs w:val="21"/>
                <w:highlight w:val="none"/>
              </w:rPr>
            </w:pPr>
            <w:r>
              <w:rPr>
                <w:rFonts w:ascii="Arial" w:hAnsi="Arial" w:eastAsia="宋体" w:cs="Arial"/>
                <w:b/>
                <w:color w:val="auto"/>
                <w:szCs w:val="21"/>
                <w:highlight w:val="none"/>
              </w:rPr>
              <w:t>序号</w:t>
            </w:r>
          </w:p>
        </w:tc>
        <w:tc>
          <w:tcPr>
            <w:tcW w:w="1376"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
                <w:color w:val="auto"/>
                <w:szCs w:val="21"/>
                <w:highlight w:val="none"/>
              </w:rPr>
            </w:pPr>
            <w:r>
              <w:rPr>
                <w:rFonts w:ascii="Arial" w:hAnsi="Arial" w:eastAsia="宋体" w:cs="Arial"/>
                <w:b/>
                <w:color w:val="auto"/>
                <w:szCs w:val="21"/>
                <w:highlight w:val="none"/>
              </w:rPr>
              <w:t>评标因素及分值</w:t>
            </w:r>
          </w:p>
        </w:tc>
        <w:tc>
          <w:tcPr>
            <w:tcW w:w="6572"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
                <w:color w:val="auto"/>
                <w:szCs w:val="21"/>
                <w:highlight w:val="none"/>
              </w:rPr>
            </w:pPr>
            <w:r>
              <w:rPr>
                <w:rFonts w:ascii="Arial" w:hAnsi="Arial" w:eastAsia="宋体" w:cs="Arial"/>
                <w:b/>
                <w:color w:val="auto"/>
                <w:szCs w:val="21"/>
                <w:highlight w:val="none"/>
              </w:rPr>
              <w:t>评标标准</w:t>
            </w:r>
          </w:p>
        </w:tc>
        <w:tc>
          <w:tcPr>
            <w:tcW w:w="1021"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
                <w:color w:val="auto"/>
                <w:szCs w:val="21"/>
                <w:highlight w:val="none"/>
              </w:rPr>
            </w:pPr>
            <w:r>
              <w:rPr>
                <w:rFonts w:ascii="Arial" w:hAnsi="Arial" w:eastAsia="宋体" w:cs="Arial"/>
                <w:b/>
                <w:color w:val="auto"/>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465"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1</w:t>
            </w:r>
          </w:p>
        </w:tc>
        <w:tc>
          <w:tcPr>
            <w:tcW w:w="1376"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价格分</w:t>
            </w:r>
            <w:r>
              <w:rPr>
                <w:rFonts w:hint="eastAsia" w:ascii="Arial" w:hAnsi="Arial" w:eastAsia="宋体" w:cs="Arial"/>
                <w:bCs/>
                <w:color w:val="auto"/>
                <w:szCs w:val="21"/>
                <w:highlight w:val="none"/>
                <w:lang w:val="en-US" w:eastAsia="zh-CN"/>
              </w:rPr>
              <w:t>40</w:t>
            </w:r>
            <w:r>
              <w:rPr>
                <w:rFonts w:ascii="Arial" w:hAnsi="Arial" w:eastAsia="宋体" w:cs="Arial"/>
                <w:bCs/>
                <w:color w:val="auto"/>
                <w:szCs w:val="21"/>
                <w:highlight w:val="none"/>
              </w:rPr>
              <w:t>分</w:t>
            </w:r>
          </w:p>
        </w:tc>
        <w:tc>
          <w:tcPr>
            <w:tcW w:w="6572" w:type="dxa"/>
            <w:noWrap w:val="0"/>
            <w:vAlign w:val="center"/>
          </w:tcPr>
          <w:p>
            <w:pPr>
              <w:keepNext w:val="0"/>
              <w:keepLines w:val="0"/>
              <w:numPr>
                <w:ilvl w:val="0"/>
                <w:numId w:val="0"/>
              </w:numPr>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hint="eastAsia" w:ascii="Arial" w:hAnsi="Arial" w:eastAsia="宋体" w:cs="Arial"/>
                <w:bCs/>
                <w:color w:val="auto"/>
                <w:szCs w:val="21"/>
                <w:highlight w:val="none"/>
                <w:lang w:val="en-US" w:eastAsia="zh-CN"/>
              </w:rPr>
              <w:t>1.1 饮片价格分（30分）</w:t>
            </w:r>
            <w:r>
              <w:rPr>
                <w:rFonts w:ascii="Arial" w:hAnsi="Arial" w:eastAsia="宋体" w:cs="Arial"/>
                <w:bCs/>
                <w:color w:val="auto"/>
                <w:szCs w:val="21"/>
                <w:highlight w:val="none"/>
              </w:rPr>
              <w:t>以最后报价最低的磋商报价为评审基准价，其价格分为</w:t>
            </w:r>
            <w:r>
              <w:rPr>
                <w:rFonts w:hint="eastAsia" w:ascii="Arial" w:hAnsi="Arial" w:eastAsia="宋体" w:cs="Arial"/>
                <w:bCs/>
                <w:color w:val="auto"/>
                <w:szCs w:val="21"/>
                <w:highlight w:val="none"/>
                <w:lang w:val="en-US" w:eastAsia="zh-CN"/>
              </w:rPr>
              <w:t>3</w:t>
            </w:r>
            <w:r>
              <w:rPr>
                <w:rFonts w:ascii="Arial" w:hAnsi="Arial" w:eastAsia="宋体" w:cs="Arial"/>
                <w:bCs/>
                <w:color w:val="auto"/>
                <w:szCs w:val="21"/>
                <w:highlight w:val="none"/>
              </w:rPr>
              <w:t>0分。其他供应商的价格分统一按照下列公式计算：价格分=（评审基准价/磋商报价）×</w:t>
            </w:r>
            <w:r>
              <w:rPr>
                <w:rFonts w:hint="eastAsia" w:ascii="Arial" w:hAnsi="Arial" w:eastAsia="宋体" w:cs="Arial"/>
                <w:bCs/>
                <w:color w:val="auto"/>
                <w:szCs w:val="21"/>
                <w:highlight w:val="none"/>
                <w:lang w:val="en-US" w:eastAsia="zh-CN"/>
              </w:rPr>
              <w:t>3</w:t>
            </w:r>
            <w:r>
              <w:rPr>
                <w:rFonts w:ascii="Arial" w:hAnsi="Arial" w:eastAsia="宋体" w:cs="Arial"/>
                <w:bCs/>
                <w:color w:val="auto"/>
                <w:szCs w:val="21"/>
                <w:highlight w:val="none"/>
              </w:rPr>
              <w:t>0。</w:t>
            </w:r>
          </w:p>
          <w:p>
            <w:pPr>
              <w:keepNext w:val="0"/>
              <w:keepLines w:val="0"/>
              <w:numPr>
                <w:ilvl w:val="0"/>
                <w:numId w:val="0"/>
              </w:numPr>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hint="eastAsia" w:ascii="Arial" w:hAnsi="Arial" w:eastAsia="宋体" w:cs="Arial"/>
                <w:color w:val="auto"/>
                <w:kern w:val="0"/>
                <w:szCs w:val="21"/>
                <w:highlight w:val="none"/>
                <w:lang w:val="en-US" w:eastAsia="zh-CN"/>
              </w:rPr>
              <w:t xml:space="preserve">1.2 </w:t>
            </w:r>
            <w:r>
              <w:rPr>
                <w:rFonts w:hint="eastAsia" w:ascii="Arial" w:hAnsi="Arial" w:eastAsia="宋体" w:cs="Arial"/>
                <w:color w:val="auto"/>
                <w:kern w:val="0"/>
                <w:szCs w:val="21"/>
                <w:highlight w:val="none"/>
              </w:rPr>
              <w:t>中药饮片代煎</w:t>
            </w:r>
            <w:r>
              <w:rPr>
                <w:rFonts w:hint="eastAsia" w:ascii="Arial" w:hAnsi="Arial" w:eastAsia="宋体" w:cs="Arial"/>
                <w:bCs/>
                <w:color w:val="auto"/>
                <w:szCs w:val="21"/>
                <w:highlight w:val="none"/>
                <w:lang w:eastAsia="zh-CN"/>
              </w:rPr>
              <w:t>服务价格分（</w:t>
            </w:r>
            <w:r>
              <w:rPr>
                <w:rFonts w:hint="eastAsia" w:ascii="Arial" w:hAnsi="Arial" w:eastAsia="宋体" w:cs="Arial"/>
                <w:bCs/>
                <w:color w:val="auto"/>
                <w:szCs w:val="21"/>
                <w:highlight w:val="none"/>
                <w:lang w:val="en-US" w:eastAsia="zh-CN"/>
              </w:rPr>
              <w:t>10分</w:t>
            </w:r>
            <w:r>
              <w:rPr>
                <w:rFonts w:hint="eastAsia" w:ascii="Arial" w:hAnsi="Arial" w:eastAsia="宋体" w:cs="Arial"/>
                <w:bCs/>
                <w:color w:val="auto"/>
                <w:szCs w:val="21"/>
                <w:highlight w:val="none"/>
                <w:lang w:eastAsia="zh-CN"/>
              </w:rPr>
              <w:t>）</w:t>
            </w:r>
            <w:r>
              <w:rPr>
                <w:rFonts w:ascii="Arial" w:hAnsi="Arial" w:eastAsia="宋体" w:cs="Arial"/>
                <w:bCs/>
                <w:color w:val="auto"/>
                <w:szCs w:val="21"/>
                <w:highlight w:val="none"/>
              </w:rPr>
              <w:t>以最后报价最低的磋商报价为评审基准价，其价格分为</w:t>
            </w:r>
            <w:r>
              <w:rPr>
                <w:rFonts w:hint="eastAsia" w:ascii="Arial" w:hAnsi="Arial" w:eastAsia="宋体" w:cs="Arial"/>
                <w:bCs/>
                <w:color w:val="auto"/>
                <w:szCs w:val="21"/>
                <w:highlight w:val="none"/>
                <w:lang w:val="en-US" w:eastAsia="zh-CN"/>
              </w:rPr>
              <w:t>10</w:t>
            </w:r>
            <w:r>
              <w:rPr>
                <w:rFonts w:ascii="Arial" w:hAnsi="Arial" w:eastAsia="宋体" w:cs="Arial"/>
                <w:bCs/>
                <w:color w:val="auto"/>
                <w:szCs w:val="21"/>
                <w:highlight w:val="none"/>
              </w:rPr>
              <w:t>分。其他供应商的价格分统一按照下列公式计算：价格分=（评审基准价/磋商报价）×</w:t>
            </w:r>
            <w:r>
              <w:rPr>
                <w:rFonts w:hint="eastAsia" w:ascii="Arial" w:hAnsi="Arial" w:eastAsia="宋体" w:cs="Arial"/>
                <w:bCs/>
                <w:color w:val="auto"/>
                <w:szCs w:val="21"/>
                <w:highlight w:val="none"/>
                <w:lang w:val="en-US" w:eastAsia="zh-CN"/>
              </w:rPr>
              <w:t>10</w:t>
            </w:r>
            <w:r>
              <w:rPr>
                <w:rFonts w:ascii="Arial" w:hAnsi="Arial" w:eastAsia="宋体" w:cs="Arial"/>
                <w:bCs/>
                <w:color w:val="auto"/>
                <w:szCs w:val="21"/>
                <w:highlight w:val="none"/>
              </w:rPr>
              <w:t>。</w:t>
            </w:r>
          </w:p>
        </w:tc>
        <w:tc>
          <w:tcPr>
            <w:tcW w:w="1021" w:type="dxa"/>
            <w:noWrap w:val="0"/>
            <w:vAlign w:val="center"/>
          </w:tcPr>
          <w:p>
            <w:pPr>
              <w:keepNext w:val="0"/>
              <w:keepLines w:val="0"/>
              <w:suppressLineNumbers w:val="0"/>
              <w:wordWrap w:val="0"/>
              <w:snapToGrid w:val="0"/>
              <w:spacing w:before="0" w:beforeAutospacing="0" w:after="0" w:afterAutospacing="0" w:line="264" w:lineRule="auto"/>
              <w:ind w:left="0" w:right="0"/>
              <w:rPr>
                <w:rFonts w:hint="eastAsia" w:ascii="Arial" w:hAnsi="Arial" w:eastAsia="宋体" w:cs="Arial"/>
                <w:bCs/>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2</w:t>
            </w:r>
          </w:p>
        </w:tc>
        <w:tc>
          <w:tcPr>
            <w:tcW w:w="1376" w:type="dxa"/>
            <w:noWrap w:val="0"/>
            <w:vAlign w:val="top"/>
          </w:tcPr>
          <w:p>
            <w:pPr>
              <w:keepNext w:val="0"/>
              <w:keepLines w:val="0"/>
              <w:suppressLineNumbers w:val="0"/>
              <w:wordWrap w:val="0"/>
              <w:snapToGrid w:val="0"/>
              <w:spacing w:before="0" w:beforeAutospacing="0" w:after="0" w:afterAutospacing="0" w:line="264" w:lineRule="auto"/>
              <w:ind w:left="0" w:right="0"/>
              <w:jc w:val="center"/>
              <w:rPr>
                <w:rFonts w:hint="default" w:ascii="Arial" w:hAnsi="Arial" w:eastAsia="宋体" w:cs="Arial"/>
                <w:bCs/>
                <w:color w:val="auto"/>
                <w:szCs w:val="21"/>
                <w:highlight w:val="none"/>
                <w:lang w:val="en-US" w:eastAsia="zh-CN"/>
              </w:rPr>
            </w:pPr>
            <w:r>
              <w:rPr>
                <w:rFonts w:hint="eastAsia" w:ascii="Calibri" w:hAnsi="Calibri" w:eastAsia="宋体" w:cs="Times New Roman"/>
                <w:color w:val="auto"/>
                <w:spacing w:val="7"/>
                <w:highlight w:val="none"/>
                <w:lang w:val="en-US" w:eastAsia="zh-CN"/>
              </w:rPr>
              <w:t>2.1中药饮片</w:t>
            </w:r>
            <w:r>
              <w:rPr>
                <w:rFonts w:ascii="Arial" w:hAnsi="Arial" w:eastAsia="宋体" w:cs="Arial"/>
                <w:bCs/>
                <w:color w:val="auto"/>
                <w:szCs w:val="21"/>
                <w:highlight w:val="none"/>
              </w:rPr>
              <w:t>质量保障方案</w:t>
            </w:r>
            <w:r>
              <w:rPr>
                <w:rFonts w:hint="eastAsia" w:ascii="Arial" w:hAnsi="Arial" w:eastAsia="宋体" w:cs="Arial"/>
                <w:bCs/>
                <w:color w:val="auto"/>
                <w:szCs w:val="21"/>
                <w:highlight w:val="none"/>
                <w:lang w:val="en-US" w:eastAsia="zh-CN"/>
              </w:rPr>
              <w:t>15分</w:t>
            </w:r>
          </w:p>
          <w:p>
            <w:pPr>
              <w:keepNext w:val="0"/>
              <w:keepLines w:val="0"/>
              <w:suppressLineNumbers w:val="0"/>
              <w:wordWrap w:val="0"/>
              <w:snapToGrid w:val="0"/>
              <w:spacing w:before="0" w:beforeAutospacing="0" w:after="0" w:afterAutospacing="0" w:line="264" w:lineRule="auto"/>
              <w:ind w:left="0" w:right="0"/>
              <w:jc w:val="center"/>
              <w:rPr>
                <w:rFonts w:hint="default" w:ascii="Arial" w:hAnsi="Arial" w:eastAsia="宋体" w:cs="Arial"/>
                <w:bCs/>
                <w:color w:val="auto"/>
                <w:szCs w:val="21"/>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hint="eastAsia" w:ascii="Calibri" w:hAnsi="Calibri" w:eastAsia="宋体" w:cs="Times New Roman"/>
                <w:color w:val="auto"/>
                <w:spacing w:val="7"/>
                <w:highlight w:val="none"/>
                <w:lang w:val="en-US" w:eastAsia="zh-CN"/>
              </w:rPr>
            </w:pPr>
          </w:p>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r>
              <w:rPr>
                <w:rFonts w:hint="eastAsia" w:ascii="Calibri" w:hAnsi="Calibri" w:eastAsia="宋体" w:cs="Times New Roman"/>
                <w:color w:val="auto"/>
                <w:spacing w:val="7"/>
                <w:highlight w:val="none"/>
                <w:lang w:val="en-US" w:eastAsia="zh-CN"/>
              </w:rPr>
              <w:t>2.2代煎</w:t>
            </w:r>
            <w:r>
              <w:rPr>
                <w:rFonts w:ascii="Calibri" w:hAnsi="Calibri" w:eastAsia="宋体" w:cs="Times New Roman"/>
                <w:color w:val="auto"/>
                <w:spacing w:val="7"/>
                <w:highlight w:val="none"/>
              </w:rPr>
              <w:t>质</w:t>
            </w:r>
            <w:r>
              <w:rPr>
                <w:rFonts w:ascii="Calibri" w:hAnsi="Calibri" w:eastAsia="宋体" w:cs="Times New Roman"/>
                <w:color w:val="auto"/>
                <w:spacing w:val="9"/>
                <w:highlight w:val="none"/>
              </w:rPr>
              <w:t>量</w:t>
            </w:r>
            <w:r>
              <w:rPr>
                <w:rFonts w:ascii="Calibri" w:hAnsi="Calibri" w:eastAsia="宋体" w:cs="Times New Roman"/>
                <w:color w:val="auto"/>
                <w:spacing w:val="7"/>
                <w:highlight w:val="none"/>
              </w:rPr>
              <w:t>控</w:t>
            </w:r>
            <w:r>
              <w:rPr>
                <w:rFonts w:ascii="Calibri" w:hAnsi="Calibri" w:eastAsia="宋体" w:cs="Times New Roman"/>
                <w:color w:val="auto"/>
                <w:spacing w:val="9"/>
                <w:highlight w:val="none"/>
              </w:rPr>
              <w:t>制方案</w:t>
            </w:r>
            <w:r>
              <w:rPr>
                <w:rFonts w:hint="eastAsia" w:ascii="Arial" w:hAnsi="Arial" w:eastAsia="宋体" w:cs="Arial"/>
                <w:bCs/>
                <w:color w:val="auto"/>
                <w:szCs w:val="21"/>
                <w:highlight w:val="none"/>
                <w:lang w:val="en-US" w:eastAsia="zh-CN"/>
              </w:rPr>
              <w:t>15</w:t>
            </w:r>
            <w:r>
              <w:rPr>
                <w:rFonts w:ascii="Arial" w:hAnsi="Arial" w:eastAsia="宋体" w:cs="Arial"/>
                <w:bCs/>
                <w:color w:val="auto"/>
                <w:szCs w:val="21"/>
                <w:highlight w:val="none"/>
              </w:rPr>
              <w:t>分</w:t>
            </w:r>
          </w:p>
        </w:tc>
        <w:tc>
          <w:tcPr>
            <w:tcW w:w="6572" w:type="dxa"/>
            <w:noWrap w:val="0"/>
            <w:vAlign w:val="center"/>
          </w:tcPr>
          <w:p>
            <w:pPr>
              <w:keepNext w:val="0"/>
              <w:keepLines w:val="0"/>
              <w:suppressLineNumbers w:val="0"/>
              <w:spacing w:before="0" w:beforeAutospacing="0" w:after="0" w:afterAutospacing="0" w:line="380" w:lineRule="exact"/>
              <w:ind w:left="0" w:right="0"/>
              <w:rPr>
                <w:rFonts w:ascii="Arial" w:hAnsi="Arial" w:eastAsia="宋体" w:cs="Arial"/>
                <w:bCs/>
                <w:color w:val="auto"/>
                <w:szCs w:val="21"/>
                <w:highlight w:val="none"/>
              </w:rPr>
            </w:pPr>
            <w:bookmarkStart w:id="283" w:name="_Toc146014528"/>
            <w:r>
              <w:rPr>
                <w:rFonts w:hint="eastAsia" w:ascii="Arial" w:hAnsi="Arial" w:eastAsia="宋体" w:cs="Arial"/>
                <w:bCs/>
                <w:color w:val="auto"/>
                <w:szCs w:val="21"/>
                <w:highlight w:val="none"/>
                <w:lang w:val="en-US" w:eastAsia="zh-CN"/>
              </w:rPr>
              <w:t>2.1</w:t>
            </w:r>
            <w:r>
              <w:rPr>
                <w:rFonts w:hint="eastAsia" w:ascii="Arial" w:hAnsi="Arial" w:eastAsia="宋体" w:cs="Arial"/>
                <w:bCs/>
                <w:color w:val="auto"/>
                <w:szCs w:val="21"/>
                <w:highlight w:val="none"/>
              </w:rPr>
              <w:t>磋商小组</w:t>
            </w:r>
            <w:r>
              <w:rPr>
                <w:rFonts w:ascii="Arial" w:hAnsi="Arial" w:eastAsia="宋体" w:cs="Arial"/>
                <w:bCs/>
                <w:color w:val="auto"/>
                <w:szCs w:val="21"/>
                <w:highlight w:val="none"/>
              </w:rPr>
              <w:t>根据</w:t>
            </w:r>
            <w:r>
              <w:rPr>
                <w:rFonts w:hint="eastAsia" w:ascii="Arial" w:hAnsi="Arial" w:eastAsia="宋体" w:cs="Arial"/>
                <w:bCs/>
                <w:color w:val="auto"/>
                <w:szCs w:val="21"/>
                <w:highlight w:val="none"/>
              </w:rPr>
              <w:t>供应商</w:t>
            </w:r>
            <w:r>
              <w:rPr>
                <w:rFonts w:ascii="Arial" w:hAnsi="Arial" w:eastAsia="宋体" w:cs="Arial"/>
                <w:bCs/>
                <w:color w:val="auto"/>
                <w:szCs w:val="21"/>
                <w:highlight w:val="none"/>
              </w:rPr>
              <w:t>提供的产品质量保障方案[包含但不限于：①产品质量保证措施；②产品安全保证措施；③产品仓储质量管理措施（至少包含仓库管理制度、仓储养护、冷藏设施、温度湿度记录等）]内容进行独立评审，并按以下规定进行独立打分：</w:t>
            </w:r>
            <w:bookmarkEnd w:id="283"/>
          </w:p>
          <w:p>
            <w:pPr>
              <w:keepNext w:val="0"/>
              <w:keepLines w:val="0"/>
              <w:suppressLineNumbers w:val="0"/>
              <w:spacing w:before="0" w:beforeAutospacing="0" w:after="0" w:afterAutospacing="0" w:line="380" w:lineRule="exact"/>
              <w:ind w:left="0" w:right="0"/>
              <w:rPr>
                <w:rFonts w:ascii="Arial" w:hAnsi="Arial" w:eastAsia="宋体" w:cs="Arial"/>
                <w:bCs/>
                <w:color w:val="auto"/>
                <w:szCs w:val="21"/>
                <w:highlight w:val="none"/>
              </w:rPr>
            </w:pPr>
            <w:bookmarkStart w:id="284" w:name="_Toc146014529"/>
            <w:r>
              <w:rPr>
                <w:rFonts w:ascii="Arial" w:hAnsi="Arial" w:eastAsia="宋体" w:cs="Arial"/>
                <w:bCs/>
                <w:color w:val="auto"/>
                <w:szCs w:val="21"/>
                <w:highlight w:val="none"/>
              </w:rPr>
              <w:t>一档（0-</w:t>
            </w:r>
            <w:r>
              <w:rPr>
                <w:rFonts w:hint="eastAsia" w:ascii="Arial" w:hAnsi="Arial" w:eastAsia="宋体" w:cs="Arial"/>
                <w:bCs/>
                <w:color w:val="auto"/>
                <w:szCs w:val="21"/>
                <w:highlight w:val="none"/>
                <w:lang w:val="en-US" w:eastAsia="zh-CN"/>
              </w:rPr>
              <w:t>5</w:t>
            </w:r>
            <w:r>
              <w:rPr>
                <w:rFonts w:ascii="Arial" w:hAnsi="Arial" w:eastAsia="宋体" w:cs="Arial"/>
                <w:bCs/>
                <w:color w:val="auto"/>
                <w:szCs w:val="21"/>
                <w:highlight w:val="none"/>
              </w:rPr>
              <w:t>分）：产品质量保障方案内容简单，方案的合理性、可行性一般；体现的质量保障能力一般</w:t>
            </w:r>
            <w:bookmarkEnd w:id="284"/>
            <w:r>
              <w:rPr>
                <w:rFonts w:ascii="Arial" w:hAnsi="Arial" w:eastAsia="宋体" w:cs="Arial"/>
                <w:bCs/>
                <w:color w:val="auto"/>
                <w:szCs w:val="21"/>
                <w:highlight w:val="none"/>
              </w:rPr>
              <w:t>；</w:t>
            </w:r>
          </w:p>
          <w:p>
            <w:pPr>
              <w:keepNext w:val="0"/>
              <w:keepLines w:val="0"/>
              <w:suppressLineNumbers w:val="0"/>
              <w:spacing w:before="0" w:beforeAutospacing="0" w:after="0" w:afterAutospacing="0" w:line="380" w:lineRule="exact"/>
              <w:ind w:left="0" w:right="0"/>
              <w:rPr>
                <w:rFonts w:ascii="Arial" w:hAnsi="Arial" w:eastAsia="宋体" w:cs="Arial"/>
                <w:bCs/>
                <w:color w:val="auto"/>
                <w:szCs w:val="21"/>
                <w:highlight w:val="none"/>
              </w:rPr>
            </w:pPr>
            <w:bookmarkStart w:id="285" w:name="_Toc146014530"/>
            <w:r>
              <w:rPr>
                <w:rFonts w:ascii="Arial" w:hAnsi="Arial" w:eastAsia="宋体" w:cs="Arial"/>
                <w:bCs/>
                <w:color w:val="auto"/>
                <w:szCs w:val="21"/>
                <w:highlight w:val="none"/>
              </w:rPr>
              <w:t>二档（</w:t>
            </w:r>
            <w:r>
              <w:rPr>
                <w:rFonts w:hint="eastAsia" w:ascii="Arial" w:hAnsi="Arial" w:eastAsia="宋体" w:cs="Arial"/>
                <w:bCs/>
                <w:color w:val="auto"/>
                <w:szCs w:val="21"/>
                <w:highlight w:val="none"/>
                <w:lang w:val="en-US" w:eastAsia="zh-CN"/>
              </w:rPr>
              <w:t>6-10</w:t>
            </w:r>
            <w:r>
              <w:rPr>
                <w:rFonts w:ascii="Arial" w:hAnsi="Arial" w:eastAsia="宋体" w:cs="Arial"/>
                <w:bCs/>
                <w:color w:val="auto"/>
                <w:szCs w:val="21"/>
                <w:highlight w:val="none"/>
              </w:rPr>
              <w:t>分）：产品质量保障方案内容较详细、较完善，方案的合理性、可行性较强；体现的质量保障能力良好</w:t>
            </w:r>
            <w:bookmarkEnd w:id="285"/>
            <w:r>
              <w:rPr>
                <w:rFonts w:ascii="Arial" w:hAnsi="Arial" w:eastAsia="宋体" w:cs="Arial"/>
                <w:bCs/>
                <w:color w:val="auto"/>
                <w:szCs w:val="21"/>
                <w:highlight w:val="none"/>
              </w:rPr>
              <w:t>；</w:t>
            </w:r>
          </w:p>
          <w:p>
            <w:pPr>
              <w:keepNext w:val="0"/>
              <w:keepLines w:val="0"/>
              <w:suppressLineNumbers w:val="0"/>
              <w:spacing w:before="0" w:beforeAutospacing="0" w:after="0" w:afterAutospacing="0" w:line="380" w:lineRule="exact"/>
              <w:ind w:left="0" w:right="0"/>
              <w:rPr>
                <w:rFonts w:hint="eastAsia" w:ascii="Arial" w:hAnsi="Arial" w:eastAsia="宋体" w:cs="Arial"/>
                <w:bCs/>
                <w:color w:val="auto"/>
                <w:szCs w:val="21"/>
                <w:highlight w:val="none"/>
                <w:lang w:val="en-US" w:eastAsia="zh-CN"/>
              </w:rPr>
            </w:pPr>
            <w:bookmarkStart w:id="286" w:name="_Toc146014531"/>
            <w:r>
              <w:rPr>
                <w:rFonts w:ascii="Arial" w:hAnsi="Arial" w:eastAsia="宋体" w:cs="Arial"/>
                <w:bCs/>
                <w:color w:val="auto"/>
                <w:szCs w:val="21"/>
                <w:highlight w:val="none"/>
              </w:rPr>
              <w:t>三档（</w:t>
            </w:r>
            <w:r>
              <w:rPr>
                <w:rFonts w:hint="eastAsia" w:ascii="Arial" w:hAnsi="Arial" w:eastAsia="宋体" w:cs="Arial"/>
                <w:bCs/>
                <w:color w:val="auto"/>
                <w:szCs w:val="21"/>
                <w:highlight w:val="none"/>
                <w:lang w:val="en-US" w:eastAsia="zh-CN"/>
              </w:rPr>
              <w:t>11-15</w:t>
            </w:r>
            <w:r>
              <w:rPr>
                <w:rFonts w:ascii="Arial" w:hAnsi="Arial" w:eastAsia="宋体" w:cs="Arial"/>
                <w:bCs/>
                <w:color w:val="auto"/>
                <w:szCs w:val="21"/>
                <w:highlight w:val="none"/>
              </w:rPr>
              <w:t>分）：产品质量保障方案内容详细、完善，方案的合理性、可行性强；体现的质量保障能力优秀。</w:t>
            </w:r>
            <w:bookmarkEnd w:id="286"/>
          </w:p>
          <w:p>
            <w:pPr>
              <w:keepNext w:val="0"/>
              <w:keepLines w:val="0"/>
              <w:suppressLineNumbers w:val="0"/>
              <w:wordWrap w:val="0"/>
              <w:snapToGrid w:val="0"/>
              <w:spacing w:before="0" w:beforeAutospacing="0" w:after="0" w:afterAutospacing="0" w:line="264" w:lineRule="auto"/>
              <w:ind w:left="0" w:right="0"/>
              <w:rPr>
                <w:rFonts w:ascii="Arial" w:hAnsi="Arial" w:eastAsia="宋体" w:cs="Arial"/>
                <w:color w:val="auto"/>
                <w:szCs w:val="21"/>
                <w:highlight w:val="none"/>
              </w:rPr>
            </w:pPr>
            <w:r>
              <w:rPr>
                <w:rFonts w:hint="eastAsia" w:ascii="Arial" w:hAnsi="Arial" w:eastAsia="宋体" w:cs="Arial"/>
                <w:color w:val="auto"/>
                <w:highlight w:val="none"/>
                <w:lang w:val="en-US" w:eastAsia="zh-CN"/>
              </w:rPr>
              <w:t>2.2</w:t>
            </w:r>
            <w:r>
              <w:rPr>
                <w:rFonts w:ascii="Arial" w:hAnsi="Arial" w:eastAsia="宋体" w:cs="Arial"/>
                <w:color w:val="auto"/>
                <w:highlight w:val="none"/>
              </w:rPr>
              <w:t>磋商小组</w:t>
            </w:r>
            <w:r>
              <w:rPr>
                <w:rFonts w:ascii="Arial" w:hAnsi="Arial" w:eastAsia="宋体" w:cs="Arial"/>
                <w:color w:val="auto"/>
                <w:szCs w:val="21"/>
                <w:highlight w:val="none"/>
              </w:rPr>
              <w:t xml:space="preserve">在打分前根据采购文件要求，对比各供应商提供的“质量控制方案（质量控制流程、质检标准、入库、出库等方案）”内容进行独立评审并打分：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color w:val="auto"/>
                <w:szCs w:val="21"/>
                <w:highlight w:val="none"/>
              </w:rPr>
            </w:pPr>
            <w:r>
              <w:rPr>
                <w:rFonts w:ascii="Arial" w:hAnsi="Arial" w:eastAsia="宋体" w:cs="Arial"/>
                <w:color w:val="auto"/>
                <w:szCs w:val="21"/>
                <w:highlight w:val="none"/>
              </w:rPr>
              <w:t>一档（0～</w:t>
            </w:r>
            <w:r>
              <w:rPr>
                <w:rFonts w:hint="eastAsia" w:ascii="Arial" w:hAnsi="Arial" w:eastAsia="宋体" w:cs="Arial"/>
                <w:color w:val="auto"/>
                <w:szCs w:val="21"/>
                <w:highlight w:val="none"/>
                <w:lang w:val="en-US" w:eastAsia="zh-CN"/>
              </w:rPr>
              <w:t>3</w:t>
            </w:r>
            <w:r>
              <w:rPr>
                <w:rFonts w:ascii="Arial" w:hAnsi="Arial" w:eastAsia="宋体" w:cs="Arial"/>
                <w:color w:val="auto"/>
                <w:szCs w:val="21"/>
                <w:highlight w:val="none"/>
              </w:rPr>
              <w:t xml:space="preserve"> 分）：方案内容不够详细，可行性差，无质量控制流程及质检标准规范的，但遵照《广西中药饮片代煎质量管理规范（试行）》执行。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color w:val="auto"/>
                <w:szCs w:val="21"/>
                <w:highlight w:val="none"/>
              </w:rPr>
            </w:pPr>
            <w:r>
              <w:rPr>
                <w:rFonts w:ascii="Arial" w:hAnsi="Arial" w:eastAsia="宋体" w:cs="Arial"/>
                <w:color w:val="auto"/>
                <w:szCs w:val="21"/>
                <w:highlight w:val="none"/>
              </w:rPr>
              <w:t>二档（</w:t>
            </w:r>
            <w:r>
              <w:rPr>
                <w:rFonts w:hint="eastAsia" w:ascii="Arial" w:hAnsi="Arial" w:eastAsia="宋体" w:cs="Arial"/>
                <w:color w:val="auto"/>
                <w:szCs w:val="21"/>
                <w:highlight w:val="none"/>
                <w:lang w:val="en-US" w:eastAsia="zh-CN"/>
              </w:rPr>
              <w:t>4</w:t>
            </w:r>
            <w:r>
              <w:rPr>
                <w:rFonts w:ascii="Arial" w:hAnsi="Arial" w:eastAsia="宋体" w:cs="Arial"/>
                <w:color w:val="auto"/>
                <w:szCs w:val="21"/>
                <w:highlight w:val="none"/>
              </w:rPr>
              <w:t>～</w:t>
            </w:r>
            <w:r>
              <w:rPr>
                <w:rFonts w:hint="eastAsia" w:ascii="Arial" w:hAnsi="Arial" w:eastAsia="宋体" w:cs="Arial"/>
                <w:color w:val="auto"/>
                <w:szCs w:val="21"/>
                <w:highlight w:val="none"/>
                <w:lang w:val="en-US" w:eastAsia="zh-CN"/>
              </w:rPr>
              <w:t>7</w:t>
            </w:r>
            <w:r>
              <w:rPr>
                <w:rFonts w:ascii="Arial" w:hAnsi="Arial" w:eastAsia="宋体" w:cs="Arial"/>
                <w:color w:val="auto"/>
                <w:szCs w:val="21"/>
                <w:highlight w:val="none"/>
              </w:rPr>
              <w:t xml:space="preserve"> 分）：质量控制流程、质检标准、入库、出库等内容齐全，基本合理的，质量控制流程及质检标准规范一般，并遵照《广西中药饮片代煎质量管理规范（试行）》执行；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color w:val="auto"/>
                <w:szCs w:val="21"/>
                <w:highlight w:val="none"/>
              </w:rPr>
            </w:pPr>
            <w:r>
              <w:rPr>
                <w:rFonts w:ascii="Arial" w:hAnsi="Arial" w:eastAsia="宋体" w:cs="Arial"/>
                <w:color w:val="auto"/>
                <w:szCs w:val="21"/>
                <w:highlight w:val="none"/>
              </w:rPr>
              <w:t>三档 （</w:t>
            </w:r>
            <w:r>
              <w:rPr>
                <w:rFonts w:hint="eastAsia" w:ascii="Arial" w:hAnsi="Arial" w:eastAsia="宋体" w:cs="Arial"/>
                <w:color w:val="auto"/>
                <w:szCs w:val="21"/>
                <w:highlight w:val="none"/>
                <w:lang w:val="en-US" w:eastAsia="zh-CN"/>
              </w:rPr>
              <w:t>8</w:t>
            </w:r>
            <w:r>
              <w:rPr>
                <w:rFonts w:ascii="Arial" w:hAnsi="Arial" w:eastAsia="宋体" w:cs="Arial"/>
                <w:color w:val="auto"/>
                <w:szCs w:val="21"/>
                <w:highlight w:val="none"/>
              </w:rPr>
              <w:t>～</w:t>
            </w:r>
            <w:r>
              <w:rPr>
                <w:rFonts w:hint="eastAsia" w:ascii="Arial" w:hAnsi="Arial" w:eastAsia="宋体" w:cs="Arial"/>
                <w:color w:val="auto"/>
                <w:szCs w:val="21"/>
                <w:highlight w:val="none"/>
                <w:lang w:val="en-US" w:eastAsia="zh-CN"/>
              </w:rPr>
              <w:t>11</w:t>
            </w:r>
            <w:r>
              <w:rPr>
                <w:rFonts w:ascii="Arial" w:hAnsi="Arial" w:eastAsia="宋体" w:cs="Arial"/>
                <w:color w:val="auto"/>
                <w:szCs w:val="21"/>
                <w:highlight w:val="none"/>
              </w:rPr>
              <w:t xml:space="preserve"> 分）：质量控制流程、质检标准、入库、出库等内容详细、调理清晰，且措施合理、可行的，质量控制流程及质检标准严谨规范，并遵照《广西中药饮片代煎质量管理规范（试行）》执行并有质控方案；</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color w:val="auto"/>
                <w:szCs w:val="21"/>
                <w:highlight w:val="none"/>
              </w:rPr>
            </w:pPr>
            <w:r>
              <w:rPr>
                <w:rFonts w:ascii="Arial" w:hAnsi="Arial" w:eastAsia="宋体" w:cs="Arial"/>
                <w:color w:val="auto"/>
                <w:szCs w:val="21"/>
                <w:highlight w:val="none"/>
              </w:rPr>
              <w:t>四档（1</w:t>
            </w:r>
            <w:r>
              <w:rPr>
                <w:rFonts w:hint="eastAsia" w:ascii="Arial" w:hAnsi="Arial" w:eastAsia="宋体" w:cs="Arial"/>
                <w:color w:val="auto"/>
                <w:szCs w:val="21"/>
                <w:highlight w:val="none"/>
                <w:lang w:val="en-US" w:eastAsia="zh-CN"/>
              </w:rPr>
              <w:t>2</w:t>
            </w:r>
            <w:r>
              <w:rPr>
                <w:rFonts w:ascii="Arial" w:hAnsi="Arial" w:eastAsia="宋体" w:cs="Arial"/>
                <w:color w:val="auto"/>
                <w:szCs w:val="21"/>
                <w:highlight w:val="none"/>
              </w:rPr>
              <w:t>～</w:t>
            </w:r>
            <w:r>
              <w:rPr>
                <w:rFonts w:hint="eastAsia" w:ascii="Arial" w:hAnsi="Arial" w:eastAsia="宋体" w:cs="Arial"/>
                <w:color w:val="auto"/>
                <w:szCs w:val="21"/>
                <w:highlight w:val="none"/>
                <w:lang w:val="en-US" w:eastAsia="zh-CN"/>
              </w:rPr>
              <w:t>15</w:t>
            </w:r>
            <w:r>
              <w:rPr>
                <w:rFonts w:ascii="Arial" w:hAnsi="Arial" w:eastAsia="宋体" w:cs="Arial"/>
                <w:color w:val="auto"/>
                <w:szCs w:val="21"/>
                <w:highlight w:val="none"/>
              </w:rPr>
              <w:t xml:space="preserve"> 分）：质量控制流程、质检标准、入库、出库等内容描述详细、科学，条理清晰，科学合理，可行性强，针对性强，并遵照《广西中药饮片代煎质量管理规范（试行）》执行并有完善的质控方案，且具有标本室或留样室（提供标本室或留样室照片及详细地址）的。</w:t>
            </w:r>
          </w:p>
        </w:tc>
        <w:tc>
          <w:tcPr>
            <w:tcW w:w="1021" w:type="dxa"/>
            <w:noWrap w:val="0"/>
            <w:vAlign w:val="center"/>
          </w:tcPr>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dxa"/>
            <w:vMerge w:val="restart"/>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3</w:t>
            </w:r>
          </w:p>
        </w:tc>
        <w:tc>
          <w:tcPr>
            <w:tcW w:w="1376" w:type="dxa"/>
            <w:vMerge w:val="restart"/>
            <w:noWrap w:val="0"/>
            <w:vAlign w:val="center"/>
          </w:tcPr>
          <w:p>
            <w:pPr>
              <w:keepNext w:val="0"/>
              <w:keepLines w:val="0"/>
              <w:suppressLineNumbers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服务能力</w:t>
            </w:r>
            <w:r>
              <w:rPr>
                <w:rFonts w:hint="eastAsia" w:ascii="Arial" w:hAnsi="Arial" w:eastAsia="宋体" w:cs="Arial"/>
                <w:bCs/>
                <w:color w:val="auto"/>
                <w:szCs w:val="21"/>
                <w:highlight w:val="none"/>
                <w:lang w:val="en-US" w:eastAsia="zh-CN"/>
              </w:rPr>
              <w:t>20</w:t>
            </w:r>
            <w:r>
              <w:rPr>
                <w:rFonts w:hint="eastAsia" w:ascii="Arial" w:hAnsi="Arial" w:eastAsia="宋体" w:cs="Arial"/>
                <w:bCs/>
                <w:color w:val="auto"/>
                <w:szCs w:val="21"/>
                <w:highlight w:val="none"/>
              </w:rPr>
              <w:t>分</w:t>
            </w:r>
          </w:p>
        </w:tc>
        <w:tc>
          <w:tcPr>
            <w:tcW w:w="6572" w:type="dxa"/>
            <w:noWrap w:val="0"/>
            <w:vAlign w:val="center"/>
          </w:tcPr>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（1）配送方案分（</w:t>
            </w:r>
            <w:r>
              <w:rPr>
                <w:rFonts w:hint="eastAsia" w:ascii="Arial" w:hAnsi="Arial" w:eastAsia="宋体" w:cs="Arial"/>
                <w:bCs/>
                <w:color w:val="auto"/>
                <w:szCs w:val="21"/>
                <w:highlight w:val="none"/>
                <w:lang w:val="en-US" w:eastAsia="zh-CN"/>
              </w:rPr>
              <w:t>11</w:t>
            </w:r>
            <w:r>
              <w:rPr>
                <w:rFonts w:ascii="Arial" w:hAnsi="Arial" w:eastAsia="宋体" w:cs="Arial"/>
                <w:bCs/>
                <w:color w:val="auto"/>
                <w:szCs w:val="21"/>
                <w:highlight w:val="none"/>
              </w:rPr>
              <w:t xml:space="preserve"> 分）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color w:val="auto"/>
                <w:highlight w:val="none"/>
              </w:rPr>
              <w:t>磋商小组</w:t>
            </w:r>
            <w:r>
              <w:rPr>
                <w:rFonts w:ascii="Arial" w:hAnsi="Arial" w:eastAsia="宋体" w:cs="Arial"/>
                <w:bCs/>
                <w:color w:val="auto"/>
                <w:szCs w:val="21"/>
                <w:highlight w:val="none"/>
              </w:rPr>
              <w:t xml:space="preserve">在打分前根据采购文件要求，对比各供应商提供的“配送方案”内容进行独立评审并打分。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 xml:space="preserve">评标委员会根据投标人提供的“配送方案”内容进行独立评审并打分。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一档（0～</w:t>
            </w:r>
            <w:r>
              <w:rPr>
                <w:rFonts w:hint="eastAsia" w:ascii="Arial" w:hAnsi="Arial" w:eastAsia="宋体" w:cs="Arial"/>
                <w:bCs/>
                <w:color w:val="auto"/>
                <w:szCs w:val="21"/>
                <w:highlight w:val="none"/>
                <w:lang w:val="en-US" w:eastAsia="zh-CN"/>
              </w:rPr>
              <w:t>2</w:t>
            </w:r>
            <w:r>
              <w:rPr>
                <w:rFonts w:ascii="Arial" w:hAnsi="Arial" w:eastAsia="宋体" w:cs="Arial"/>
                <w:bCs/>
                <w:color w:val="auto"/>
                <w:szCs w:val="21"/>
                <w:highlight w:val="none"/>
              </w:rPr>
              <w:t xml:space="preserve"> 分）：配送方案内容齐全，配送及时且符合采购文件要求，基本合理的；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二档（</w:t>
            </w:r>
            <w:r>
              <w:rPr>
                <w:rFonts w:hint="eastAsia" w:ascii="Arial" w:hAnsi="Arial" w:eastAsia="宋体" w:cs="Arial"/>
                <w:bCs/>
                <w:color w:val="auto"/>
                <w:szCs w:val="21"/>
                <w:highlight w:val="none"/>
                <w:lang w:val="en-US" w:eastAsia="zh-CN"/>
              </w:rPr>
              <w:t>3</w:t>
            </w:r>
            <w:r>
              <w:rPr>
                <w:rFonts w:ascii="Arial" w:hAnsi="Arial" w:eastAsia="宋体" w:cs="Arial"/>
                <w:bCs/>
                <w:color w:val="auto"/>
                <w:szCs w:val="21"/>
                <w:highlight w:val="none"/>
              </w:rPr>
              <w:t>～</w:t>
            </w:r>
            <w:r>
              <w:rPr>
                <w:rFonts w:hint="eastAsia" w:ascii="Arial" w:hAnsi="Arial" w:eastAsia="宋体" w:cs="Arial"/>
                <w:bCs/>
                <w:color w:val="auto"/>
                <w:szCs w:val="21"/>
                <w:highlight w:val="none"/>
                <w:lang w:val="en-US" w:eastAsia="zh-CN"/>
              </w:rPr>
              <w:t>5</w:t>
            </w:r>
            <w:r>
              <w:rPr>
                <w:rFonts w:ascii="Arial" w:hAnsi="Arial" w:eastAsia="宋体" w:cs="Arial"/>
                <w:bCs/>
                <w:color w:val="auto"/>
                <w:szCs w:val="21"/>
                <w:highlight w:val="none"/>
              </w:rPr>
              <w:t xml:space="preserve">分）：配送方案较具体、可行，有配送情况分析，针对本项目配送体系与结构一般， 与之对应的相关产品配送保障措施一般；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三档 （</w:t>
            </w:r>
            <w:r>
              <w:rPr>
                <w:rFonts w:hint="eastAsia" w:ascii="Arial" w:hAnsi="Arial" w:eastAsia="宋体" w:cs="Arial"/>
                <w:bCs/>
                <w:color w:val="auto"/>
                <w:szCs w:val="21"/>
                <w:highlight w:val="none"/>
                <w:lang w:val="en-US" w:eastAsia="zh-CN"/>
              </w:rPr>
              <w:t>6</w:t>
            </w:r>
            <w:r>
              <w:rPr>
                <w:rFonts w:ascii="Arial" w:hAnsi="Arial" w:eastAsia="宋体" w:cs="Arial"/>
                <w:bCs/>
                <w:color w:val="auto"/>
                <w:szCs w:val="21"/>
                <w:highlight w:val="none"/>
              </w:rPr>
              <w:t>～</w:t>
            </w:r>
            <w:r>
              <w:rPr>
                <w:rFonts w:hint="eastAsia" w:ascii="Arial" w:hAnsi="Arial" w:eastAsia="宋体" w:cs="Arial"/>
                <w:bCs/>
                <w:color w:val="auto"/>
                <w:szCs w:val="21"/>
                <w:highlight w:val="none"/>
                <w:lang w:val="en-US" w:eastAsia="zh-CN"/>
              </w:rPr>
              <w:t>8</w:t>
            </w:r>
            <w:r>
              <w:rPr>
                <w:rFonts w:ascii="Arial" w:hAnsi="Arial" w:eastAsia="宋体" w:cs="Arial"/>
                <w:bCs/>
                <w:color w:val="auto"/>
                <w:szCs w:val="21"/>
                <w:highlight w:val="none"/>
              </w:rPr>
              <w:t xml:space="preserve"> 分）：配送方案较具体、可行，有配送情况分析，针对本项目配送体系与结构一般，与之对应的相关产品配送保障措施一般，配送医院时间自收到采购人订单后12小时内送达，快递配送时效需 24 小时内直接快递配送到患者指定地点，且自有运输车辆不少于1辆，至少3名配送人员提供配送服务【</w:t>
            </w:r>
            <w:r>
              <w:rPr>
                <w:rFonts w:hint="eastAsia" w:ascii="Arial" w:hAnsi="Arial" w:eastAsia="宋体" w:cs="Arial"/>
                <w:bCs/>
                <w:color w:val="auto"/>
                <w:szCs w:val="21"/>
                <w:highlight w:val="none"/>
              </w:rPr>
              <w:t>响应文件</w:t>
            </w:r>
            <w:r>
              <w:rPr>
                <w:rFonts w:ascii="Arial" w:hAnsi="Arial" w:eastAsia="宋体" w:cs="Arial"/>
                <w:bCs/>
                <w:color w:val="auto"/>
                <w:szCs w:val="21"/>
                <w:highlight w:val="none"/>
              </w:rPr>
              <w:t>中提供供应商 2025 年内任意连续三个月为其购买社保的证明材料和车辆行驶证复印件，车辆信息需体现为供应商自有车辆或者租赁合同及其他方式持有证明，能保证服务期内配送】；</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四档（</w:t>
            </w:r>
            <w:r>
              <w:rPr>
                <w:rFonts w:hint="eastAsia" w:ascii="Arial" w:hAnsi="Arial" w:eastAsia="宋体" w:cs="Arial"/>
                <w:bCs/>
                <w:color w:val="auto"/>
                <w:szCs w:val="21"/>
                <w:highlight w:val="none"/>
                <w:lang w:val="en-US" w:eastAsia="zh-CN"/>
              </w:rPr>
              <w:t>9</w:t>
            </w:r>
            <w:r>
              <w:rPr>
                <w:rFonts w:ascii="Arial" w:hAnsi="Arial" w:eastAsia="宋体" w:cs="Arial"/>
                <w:bCs/>
                <w:color w:val="auto"/>
                <w:szCs w:val="21"/>
                <w:highlight w:val="none"/>
              </w:rPr>
              <w:t>～</w:t>
            </w:r>
            <w:r>
              <w:rPr>
                <w:rFonts w:hint="eastAsia" w:ascii="Arial" w:hAnsi="Arial" w:eastAsia="宋体" w:cs="Arial"/>
                <w:bCs/>
                <w:color w:val="auto"/>
                <w:szCs w:val="21"/>
                <w:highlight w:val="none"/>
                <w:lang w:val="en-US" w:eastAsia="zh-CN"/>
              </w:rPr>
              <w:t>11</w:t>
            </w:r>
            <w:r>
              <w:rPr>
                <w:rFonts w:ascii="Arial" w:hAnsi="Arial" w:eastAsia="宋体" w:cs="Arial"/>
                <w:bCs/>
                <w:color w:val="auto"/>
                <w:szCs w:val="21"/>
                <w:highlight w:val="none"/>
              </w:rPr>
              <w:t xml:space="preserve"> 分）：配送方案具体、可行，有详细的配送情况分析，针对本项目有完整的配送体系与结构，及与之对应的相关产品配送保障措施；配送医院时间自收到采购人订单后 </w:t>
            </w:r>
            <w:r>
              <w:rPr>
                <w:rFonts w:hint="eastAsia" w:ascii="Arial" w:hAnsi="Arial" w:eastAsia="宋体" w:cs="Arial"/>
                <w:bCs/>
                <w:color w:val="auto"/>
                <w:szCs w:val="21"/>
                <w:highlight w:val="none"/>
                <w:lang w:val="en-US" w:eastAsia="zh-CN"/>
              </w:rPr>
              <w:t>6</w:t>
            </w:r>
            <w:r>
              <w:rPr>
                <w:rFonts w:ascii="Arial" w:hAnsi="Arial" w:eastAsia="宋体" w:cs="Arial"/>
                <w:bCs/>
                <w:color w:val="auto"/>
                <w:szCs w:val="21"/>
                <w:highlight w:val="none"/>
              </w:rPr>
              <w:t xml:space="preserve"> </w:t>
            </w:r>
            <w:r>
              <w:rPr>
                <w:rFonts w:ascii="Arial" w:hAnsi="Arial" w:eastAsia="宋体" w:cs="Arial"/>
                <w:bCs/>
                <w:color w:val="auto"/>
                <w:szCs w:val="21"/>
                <w:highlight w:val="none"/>
              </w:rPr>
              <w:t>小时内送达，快递配送时效需 24 小时内直接快递配送到患者指定地点，且自有运输车辆不少于 2 辆，至少 5 名配送人员提供配送服务【</w:t>
            </w:r>
            <w:r>
              <w:rPr>
                <w:rFonts w:hint="eastAsia" w:ascii="Arial" w:hAnsi="Arial" w:eastAsia="宋体" w:cs="Arial"/>
                <w:bCs/>
                <w:color w:val="auto"/>
                <w:szCs w:val="21"/>
                <w:highlight w:val="none"/>
              </w:rPr>
              <w:t>响应文件</w:t>
            </w:r>
            <w:r>
              <w:rPr>
                <w:rFonts w:ascii="Arial" w:hAnsi="Arial" w:eastAsia="宋体" w:cs="Arial"/>
                <w:bCs/>
                <w:color w:val="auto"/>
                <w:szCs w:val="21"/>
                <w:highlight w:val="none"/>
              </w:rPr>
              <w:t>中提供供应商 2025 年内任意连续三个月为其购买社保的证明材料和车辆行驶证复印件，车辆信息需体现为供应商自有车辆或者租赁合同及其他方式持有证明，能保证服务期内配送】。</w:t>
            </w:r>
          </w:p>
        </w:tc>
        <w:tc>
          <w:tcPr>
            <w:tcW w:w="1021" w:type="dxa"/>
            <w:noWrap w:val="0"/>
            <w:vAlign w:val="center"/>
          </w:tcPr>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dxa"/>
            <w:vMerge w:val="continue"/>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p>
        </w:tc>
        <w:tc>
          <w:tcPr>
            <w:tcW w:w="1376" w:type="dxa"/>
            <w:vMerge w:val="continue"/>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p>
        </w:tc>
        <w:tc>
          <w:tcPr>
            <w:tcW w:w="6572" w:type="dxa"/>
            <w:noWrap w:val="0"/>
            <w:vAlign w:val="center"/>
          </w:tcPr>
          <w:p>
            <w:pPr>
              <w:keepNext w:val="0"/>
              <w:keepLines w:val="0"/>
              <w:numPr>
                <w:ilvl w:val="0"/>
                <w:numId w:val="7"/>
              </w:numPr>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hint="eastAsia" w:ascii="Arial" w:hAnsi="Arial" w:eastAsia="宋体" w:cs="Arial"/>
                <w:bCs/>
                <w:color w:val="auto"/>
                <w:szCs w:val="21"/>
                <w:highlight w:val="none"/>
                <w:lang w:eastAsia="zh-CN"/>
              </w:rPr>
              <w:t>距离</w:t>
            </w:r>
            <w:r>
              <w:rPr>
                <w:rFonts w:ascii="Arial" w:hAnsi="Arial" w:eastAsia="宋体" w:cs="Arial"/>
                <w:bCs/>
                <w:color w:val="auto"/>
                <w:szCs w:val="21"/>
                <w:highlight w:val="none"/>
              </w:rPr>
              <w:t>分（</w:t>
            </w:r>
            <w:r>
              <w:rPr>
                <w:rFonts w:hint="eastAsia" w:ascii="Arial" w:hAnsi="Arial" w:eastAsia="宋体" w:cs="Arial"/>
                <w:bCs/>
                <w:color w:val="auto"/>
                <w:szCs w:val="21"/>
                <w:highlight w:val="none"/>
                <w:lang w:val="en-US" w:eastAsia="zh-CN"/>
              </w:rPr>
              <w:t>5</w:t>
            </w:r>
            <w:r>
              <w:rPr>
                <w:rFonts w:ascii="Arial" w:hAnsi="Arial" w:eastAsia="宋体" w:cs="Arial"/>
                <w:bCs/>
                <w:color w:val="auto"/>
                <w:szCs w:val="21"/>
                <w:highlight w:val="none"/>
              </w:rPr>
              <w:t>分）</w:t>
            </w:r>
          </w:p>
          <w:p>
            <w:pPr>
              <w:keepNext w:val="0"/>
              <w:keepLines w:val="0"/>
              <w:numPr>
                <w:ilvl w:val="0"/>
                <w:numId w:val="0"/>
              </w:numPr>
              <w:suppressLineNumbers w:val="0"/>
              <w:wordWrap w:val="0"/>
              <w:snapToGrid w:val="0"/>
              <w:spacing w:before="0" w:beforeAutospacing="0" w:after="0" w:afterAutospacing="0" w:line="264" w:lineRule="auto"/>
              <w:ind w:left="0" w:right="0"/>
              <w:rPr>
                <w:rFonts w:hint="default" w:ascii="Arial" w:hAnsi="Arial" w:eastAsia="宋体" w:cs="Arial"/>
                <w:bCs/>
                <w:color w:val="auto"/>
                <w:szCs w:val="21"/>
                <w:highlight w:val="none"/>
                <w:lang w:val="en-US" w:eastAsia="zh-CN"/>
              </w:rPr>
            </w:pPr>
            <w:r>
              <w:rPr>
                <w:rFonts w:hint="eastAsia" w:ascii="Arial" w:hAnsi="Arial" w:eastAsia="宋体" w:cs="Arial"/>
                <w:bCs/>
                <w:color w:val="auto"/>
                <w:szCs w:val="21"/>
                <w:highlight w:val="none"/>
                <w:lang w:eastAsia="zh-CN"/>
              </w:rPr>
              <w:t>一档（</w:t>
            </w:r>
            <w:r>
              <w:rPr>
                <w:rFonts w:hint="eastAsia" w:ascii="Arial" w:hAnsi="Arial" w:eastAsia="宋体" w:cs="Arial"/>
                <w:bCs/>
                <w:color w:val="auto"/>
                <w:szCs w:val="21"/>
                <w:highlight w:val="none"/>
                <w:lang w:val="en-US" w:eastAsia="zh-CN"/>
              </w:rPr>
              <w:t>1分</w:t>
            </w:r>
            <w:r>
              <w:rPr>
                <w:rFonts w:hint="eastAsia" w:ascii="Arial" w:hAnsi="Arial" w:eastAsia="宋体" w:cs="Arial"/>
                <w:bCs/>
                <w:color w:val="auto"/>
                <w:szCs w:val="21"/>
                <w:highlight w:val="none"/>
                <w:lang w:eastAsia="zh-CN"/>
              </w:rPr>
              <w:t>）代煎服务中心距离灵川县中医医院路程大于</w:t>
            </w:r>
            <w:r>
              <w:rPr>
                <w:rFonts w:hint="eastAsia" w:ascii="Arial" w:hAnsi="Arial" w:eastAsia="宋体" w:cs="Arial"/>
                <w:bCs/>
                <w:color w:val="auto"/>
                <w:szCs w:val="21"/>
                <w:highlight w:val="none"/>
                <w:lang w:val="en-US" w:eastAsia="zh-CN"/>
              </w:rPr>
              <w:t>50公里；</w:t>
            </w:r>
          </w:p>
          <w:p>
            <w:pPr>
              <w:keepNext w:val="0"/>
              <w:keepLines w:val="0"/>
              <w:numPr>
                <w:ilvl w:val="0"/>
                <w:numId w:val="0"/>
              </w:numPr>
              <w:suppressLineNumbers w:val="0"/>
              <w:wordWrap w:val="0"/>
              <w:snapToGrid w:val="0"/>
              <w:spacing w:before="0" w:beforeAutospacing="0" w:after="0" w:afterAutospacing="0" w:line="264" w:lineRule="auto"/>
              <w:ind w:left="0" w:right="0"/>
              <w:rPr>
                <w:rFonts w:hint="eastAsia" w:ascii="Arial" w:hAnsi="Arial" w:eastAsia="宋体" w:cs="Arial"/>
                <w:bCs/>
                <w:color w:val="auto"/>
                <w:szCs w:val="21"/>
                <w:highlight w:val="none"/>
                <w:lang w:eastAsia="zh-CN"/>
              </w:rPr>
            </w:pPr>
            <w:r>
              <w:rPr>
                <w:rFonts w:hint="eastAsia" w:ascii="Arial" w:hAnsi="Arial" w:eastAsia="宋体" w:cs="Arial"/>
                <w:bCs/>
                <w:color w:val="auto"/>
                <w:szCs w:val="21"/>
                <w:highlight w:val="none"/>
                <w:lang w:eastAsia="zh-CN"/>
              </w:rPr>
              <w:t>二</w:t>
            </w:r>
            <w:r>
              <w:rPr>
                <w:rFonts w:hint="eastAsia" w:ascii="Arial" w:hAnsi="Arial" w:eastAsia="宋体" w:cs="Arial"/>
                <w:bCs/>
                <w:color w:val="auto"/>
                <w:szCs w:val="21"/>
                <w:highlight w:val="none"/>
                <w:lang w:val="en-US" w:eastAsia="zh-CN"/>
              </w:rPr>
              <w:t>档</w:t>
            </w:r>
            <w:r>
              <w:rPr>
                <w:rFonts w:hint="eastAsia" w:ascii="Arial" w:hAnsi="Arial" w:eastAsia="宋体" w:cs="Arial"/>
                <w:bCs/>
                <w:color w:val="auto"/>
                <w:szCs w:val="21"/>
                <w:highlight w:val="none"/>
                <w:lang w:eastAsia="zh-CN"/>
              </w:rPr>
              <w:t>（</w:t>
            </w:r>
            <w:r>
              <w:rPr>
                <w:rFonts w:hint="eastAsia" w:ascii="Arial" w:hAnsi="Arial" w:eastAsia="宋体" w:cs="Arial"/>
                <w:bCs/>
                <w:color w:val="auto"/>
                <w:szCs w:val="21"/>
                <w:highlight w:val="none"/>
                <w:lang w:val="en-US" w:eastAsia="zh-CN"/>
              </w:rPr>
              <w:t>3分</w:t>
            </w:r>
            <w:r>
              <w:rPr>
                <w:rFonts w:hint="eastAsia" w:ascii="Arial" w:hAnsi="Arial" w:eastAsia="宋体" w:cs="Arial"/>
                <w:bCs/>
                <w:color w:val="auto"/>
                <w:szCs w:val="21"/>
                <w:highlight w:val="none"/>
                <w:lang w:eastAsia="zh-CN"/>
              </w:rPr>
              <w:t>）代煎服务中心距离灵川县中医医院路程大于</w:t>
            </w:r>
            <w:r>
              <w:rPr>
                <w:rFonts w:hint="eastAsia" w:ascii="Arial" w:hAnsi="Arial" w:eastAsia="宋体" w:cs="Arial"/>
                <w:bCs/>
                <w:color w:val="auto"/>
                <w:szCs w:val="21"/>
                <w:highlight w:val="none"/>
                <w:lang w:val="en-US" w:eastAsia="zh-CN"/>
              </w:rPr>
              <w:t>10公里小于等于50公里；</w:t>
            </w:r>
          </w:p>
          <w:p>
            <w:pPr>
              <w:keepNext w:val="0"/>
              <w:keepLines w:val="0"/>
              <w:numPr>
                <w:ilvl w:val="0"/>
                <w:numId w:val="0"/>
              </w:numPr>
              <w:suppressLineNumbers w:val="0"/>
              <w:wordWrap w:val="0"/>
              <w:snapToGrid w:val="0"/>
              <w:spacing w:before="0" w:beforeAutospacing="0" w:after="0" w:afterAutospacing="0" w:line="264" w:lineRule="auto"/>
              <w:ind w:left="0" w:right="0"/>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lang w:eastAsia="zh-CN"/>
              </w:rPr>
              <w:t>三</w:t>
            </w:r>
            <w:r>
              <w:rPr>
                <w:rFonts w:hint="eastAsia" w:ascii="Arial" w:hAnsi="Arial" w:eastAsia="宋体" w:cs="Arial"/>
                <w:bCs/>
                <w:color w:val="auto"/>
                <w:szCs w:val="21"/>
                <w:highlight w:val="none"/>
                <w:lang w:val="en-US" w:eastAsia="zh-CN"/>
              </w:rPr>
              <w:t>档</w:t>
            </w:r>
            <w:r>
              <w:rPr>
                <w:rFonts w:hint="eastAsia" w:ascii="Arial" w:hAnsi="Arial" w:eastAsia="宋体" w:cs="Arial"/>
                <w:bCs/>
                <w:color w:val="auto"/>
                <w:szCs w:val="21"/>
                <w:highlight w:val="none"/>
                <w:lang w:eastAsia="zh-CN"/>
              </w:rPr>
              <w:t>（</w:t>
            </w:r>
            <w:r>
              <w:rPr>
                <w:rFonts w:hint="eastAsia" w:ascii="Arial" w:hAnsi="Arial" w:eastAsia="宋体" w:cs="Arial"/>
                <w:bCs/>
                <w:color w:val="auto"/>
                <w:szCs w:val="21"/>
                <w:highlight w:val="none"/>
                <w:lang w:val="en-US" w:eastAsia="zh-CN"/>
              </w:rPr>
              <w:t>5分</w:t>
            </w:r>
            <w:r>
              <w:rPr>
                <w:rFonts w:hint="eastAsia" w:ascii="Arial" w:hAnsi="Arial" w:eastAsia="宋体" w:cs="Arial"/>
                <w:bCs/>
                <w:color w:val="auto"/>
                <w:szCs w:val="21"/>
                <w:highlight w:val="none"/>
                <w:lang w:eastAsia="zh-CN"/>
              </w:rPr>
              <w:t>）代煎服务中心距离灵川县中医医院路程小于等于</w:t>
            </w:r>
            <w:r>
              <w:rPr>
                <w:rFonts w:hint="eastAsia" w:ascii="Arial" w:hAnsi="Arial" w:eastAsia="宋体" w:cs="Arial"/>
                <w:bCs/>
                <w:color w:val="auto"/>
                <w:szCs w:val="21"/>
                <w:highlight w:val="none"/>
                <w:lang w:val="en-US" w:eastAsia="zh-CN"/>
              </w:rPr>
              <w:t>10公里；</w:t>
            </w:r>
          </w:p>
          <w:p>
            <w:pPr>
              <w:keepNext w:val="0"/>
              <w:keepLines w:val="0"/>
              <w:numPr>
                <w:ilvl w:val="0"/>
                <w:numId w:val="0"/>
              </w:numPr>
              <w:suppressLineNumbers w:val="0"/>
              <w:wordWrap w:val="0"/>
              <w:snapToGrid w:val="0"/>
              <w:spacing w:before="0" w:beforeAutospacing="0" w:after="0" w:afterAutospacing="0" w:line="264" w:lineRule="auto"/>
              <w:ind w:left="0" w:right="0"/>
              <w:rPr>
                <w:rFonts w:hint="default" w:ascii="Arial" w:hAnsi="Arial" w:eastAsia="宋体" w:cs="Arial"/>
                <w:bCs/>
                <w:color w:val="auto"/>
                <w:szCs w:val="21"/>
                <w:highlight w:val="none"/>
                <w:lang w:val="en-US" w:eastAsia="zh-CN"/>
              </w:rPr>
            </w:pPr>
            <w:r>
              <w:rPr>
                <w:rFonts w:hint="eastAsia" w:ascii="Arial" w:hAnsi="Arial" w:eastAsia="宋体" w:cs="Arial"/>
                <w:color w:val="auto"/>
                <w:kern w:val="0"/>
                <w:szCs w:val="21"/>
                <w:highlight w:val="none"/>
                <w:lang w:val="en-US" w:eastAsia="zh-CN"/>
              </w:rPr>
              <w:t>注：如供应商属于</w:t>
            </w:r>
            <w:r>
              <w:rPr>
                <w:rFonts w:hint="eastAsia" w:ascii="Arial" w:hAnsi="Arial" w:eastAsia="宋体" w:cs="Arial"/>
                <w:color w:val="auto"/>
                <w:kern w:val="0"/>
                <w:szCs w:val="21"/>
                <w:highlight w:val="none"/>
              </w:rPr>
              <w:t>承诺成交后三个月内能在桂林设有代煎服务点</w:t>
            </w:r>
            <w:r>
              <w:rPr>
                <w:rFonts w:hint="eastAsia" w:ascii="Arial" w:hAnsi="Arial" w:eastAsia="宋体" w:cs="Arial"/>
                <w:color w:val="auto"/>
                <w:kern w:val="0"/>
                <w:szCs w:val="21"/>
                <w:highlight w:val="none"/>
                <w:lang w:val="en-US" w:eastAsia="zh-CN"/>
              </w:rPr>
              <w:t>的，则应在响应文件中提供承诺成交后在桂林设立代煎服务点的具体位置，否则不予得分。</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w:t>
            </w:r>
            <w:r>
              <w:rPr>
                <w:rFonts w:hint="eastAsia" w:ascii="Arial" w:hAnsi="Arial" w:eastAsia="宋体" w:cs="Arial"/>
                <w:bCs/>
                <w:color w:val="auto"/>
                <w:szCs w:val="21"/>
                <w:highlight w:val="none"/>
                <w:lang w:val="en-US" w:eastAsia="zh-CN"/>
              </w:rPr>
              <w:t>3</w:t>
            </w:r>
            <w:r>
              <w:rPr>
                <w:rFonts w:ascii="Arial" w:hAnsi="Arial" w:eastAsia="宋体" w:cs="Arial"/>
                <w:bCs/>
                <w:color w:val="auto"/>
                <w:szCs w:val="21"/>
                <w:highlight w:val="none"/>
              </w:rPr>
              <w:t>）应急保障方案分（</w:t>
            </w:r>
            <w:r>
              <w:rPr>
                <w:rFonts w:hint="eastAsia" w:ascii="Arial" w:hAnsi="Arial" w:eastAsia="宋体" w:cs="Arial"/>
                <w:bCs/>
                <w:color w:val="auto"/>
                <w:szCs w:val="21"/>
                <w:highlight w:val="none"/>
                <w:lang w:val="en-US" w:eastAsia="zh-CN"/>
              </w:rPr>
              <w:t>4</w:t>
            </w:r>
            <w:r>
              <w:rPr>
                <w:rFonts w:ascii="Arial" w:hAnsi="Arial" w:eastAsia="宋体" w:cs="Arial"/>
                <w:bCs/>
                <w:color w:val="auto"/>
                <w:szCs w:val="21"/>
                <w:highlight w:val="none"/>
              </w:rPr>
              <w:t xml:space="preserve"> 分）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color w:val="auto"/>
                <w:highlight w:val="none"/>
              </w:rPr>
              <w:t>磋商小组</w:t>
            </w:r>
            <w:r>
              <w:rPr>
                <w:rFonts w:ascii="Arial" w:hAnsi="Arial" w:eastAsia="宋体" w:cs="Arial"/>
                <w:bCs/>
                <w:color w:val="auto"/>
                <w:szCs w:val="21"/>
                <w:highlight w:val="none"/>
              </w:rPr>
              <w:t>在打分前根据采购文件要求，对比各供应商提供的“应急保障方案（重大或突发事件应急保障方案措施）”内容进行独立评审并打分：</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一档（</w:t>
            </w:r>
            <w:r>
              <w:rPr>
                <w:rFonts w:hint="eastAsia" w:ascii="Arial" w:hAnsi="Arial" w:eastAsia="宋体" w:cs="Arial"/>
                <w:bCs/>
                <w:color w:val="auto"/>
                <w:szCs w:val="21"/>
                <w:highlight w:val="none"/>
                <w:lang w:val="en-US" w:eastAsia="zh-CN"/>
              </w:rPr>
              <w:t>1</w:t>
            </w:r>
            <w:r>
              <w:rPr>
                <w:rFonts w:ascii="Arial" w:hAnsi="Arial" w:eastAsia="宋体" w:cs="Arial"/>
                <w:bCs/>
                <w:color w:val="auto"/>
                <w:szCs w:val="21"/>
                <w:highlight w:val="none"/>
              </w:rPr>
              <w:t xml:space="preserve">分）：重大或突发事件应急保障方案不全面、合理性一般、可行性差；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二档（</w:t>
            </w:r>
            <w:r>
              <w:rPr>
                <w:rFonts w:hint="eastAsia" w:ascii="Arial" w:hAnsi="Arial" w:eastAsia="宋体" w:cs="Arial"/>
                <w:bCs/>
                <w:color w:val="auto"/>
                <w:szCs w:val="21"/>
                <w:highlight w:val="none"/>
                <w:lang w:val="en-US" w:eastAsia="zh-CN"/>
              </w:rPr>
              <w:t>2</w:t>
            </w:r>
            <w:r>
              <w:rPr>
                <w:rFonts w:ascii="Arial" w:hAnsi="Arial" w:eastAsia="宋体" w:cs="Arial"/>
                <w:bCs/>
                <w:color w:val="auto"/>
                <w:szCs w:val="21"/>
                <w:highlight w:val="none"/>
              </w:rPr>
              <w:t xml:space="preserve"> 分）：重大或突发事件应急保障方案基本全面、合理的；</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三档 （</w:t>
            </w:r>
            <w:r>
              <w:rPr>
                <w:rFonts w:hint="eastAsia" w:ascii="Arial" w:hAnsi="Arial" w:eastAsia="宋体" w:cs="Arial"/>
                <w:bCs/>
                <w:color w:val="auto"/>
                <w:szCs w:val="21"/>
                <w:highlight w:val="none"/>
                <w:lang w:val="en-US" w:eastAsia="zh-CN"/>
              </w:rPr>
              <w:t>3</w:t>
            </w:r>
            <w:r>
              <w:rPr>
                <w:rFonts w:ascii="Arial" w:hAnsi="Arial" w:eastAsia="宋体" w:cs="Arial"/>
                <w:bCs/>
                <w:color w:val="auto"/>
                <w:szCs w:val="21"/>
                <w:highlight w:val="none"/>
              </w:rPr>
              <w:t>分）：重大或突发事件应急保障方案较为全面、具体的；</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四档（</w:t>
            </w:r>
            <w:r>
              <w:rPr>
                <w:rFonts w:hint="eastAsia" w:ascii="Arial" w:hAnsi="Arial" w:eastAsia="宋体" w:cs="Arial"/>
                <w:bCs/>
                <w:color w:val="auto"/>
                <w:szCs w:val="21"/>
                <w:highlight w:val="none"/>
                <w:lang w:val="en-US" w:eastAsia="zh-CN"/>
              </w:rPr>
              <w:t>4</w:t>
            </w:r>
            <w:r>
              <w:rPr>
                <w:rFonts w:ascii="Arial" w:hAnsi="Arial" w:eastAsia="宋体" w:cs="Arial"/>
                <w:bCs/>
                <w:color w:val="auto"/>
                <w:szCs w:val="21"/>
                <w:highlight w:val="none"/>
              </w:rPr>
              <w:t xml:space="preserve"> 分）：重大或突发事件应急保障方案非常全面、内容详细、科学、具体的。</w:t>
            </w:r>
          </w:p>
        </w:tc>
        <w:tc>
          <w:tcPr>
            <w:tcW w:w="1021" w:type="dxa"/>
            <w:noWrap w:val="0"/>
            <w:vAlign w:val="center"/>
          </w:tcPr>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r>
              <w:rPr>
                <w:rFonts w:ascii="Arial" w:hAnsi="Arial" w:eastAsia="宋体" w:cs="Arial"/>
                <w:bCs/>
                <w:color w:val="auto"/>
                <w:szCs w:val="21"/>
                <w:highlight w:val="none"/>
              </w:rPr>
              <w:t>4</w:t>
            </w:r>
          </w:p>
        </w:tc>
        <w:tc>
          <w:tcPr>
            <w:tcW w:w="1376" w:type="dxa"/>
            <w:noWrap w:val="0"/>
            <w:vAlign w:val="center"/>
          </w:tcPr>
          <w:p>
            <w:pPr>
              <w:keepNext w:val="0"/>
              <w:keepLines w:val="0"/>
              <w:suppressLineNumbers w:val="0"/>
              <w:wordWrap w:val="0"/>
              <w:snapToGrid w:val="0"/>
              <w:spacing w:before="0" w:beforeAutospacing="0" w:after="0" w:afterAutospacing="0" w:line="264" w:lineRule="auto"/>
              <w:ind w:left="0" w:right="0"/>
              <w:jc w:val="both"/>
              <w:rPr>
                <w:rFonts w:ascii="Arial" w:hAnsi="Arial" w:eastAsia="宋体" w:cs="Arial"/>
                <w:bCs/>
                <w:color w:val="auto"/>
                <w:szCs w:val="21"/>
                <w:highlight w:val="none"/>
              </w:rPr>
            </w:pPr>
            <w:r>
              <w:rPr>
                <w:rFonts w:ascii="Arial" w:hAnsi="Arial" w:eastAsia="宋体" w:cs="Arial"/>
                <w:bCs/>
                <w:color w:val="auto"/>
                <w:szCs w:val="21"/>
                <w:highlight w:val="none"/>
              </w:rPr>
              <w:t>售后服务实施方案分</w:t>
            </w:r>
            <w:r>
              <w:rPr>
                <w:rFonts w:hint="eastAsia" w:ascii="Arial" w:hAnsi="Arial" w:eastAsia="宋体" w:cs="Arial"/>
                <w:bCs/>
                <w:color w:val="auto"/>
                <w:szCs w:val="21"/>
                <w:highlight w:val="none"/>
                <w:lang w:val="en-US" w:eastAsia="zh-CN"/>
              </w:rPr>
              <w:t>7</w:t>
            </w:r>
            <w:r>
              <w:rPr>
                <w:rFonts w:hint="eastAsia" w:ascii="Arial" w:hAnsi="Arial" w:eastAsia="宋体" w:cs="Arial"/>
                <w:bCs/>
                <w:color w:val="auto"/>
                <w:szCs w:val="21"/>
                <w:highlight w:val="none"/>
              </w:rPr>
              <w:t>分</w:t>
            </w:r>
          </w:p>
        </w:tc>
        <w:tc>
          <w:tcPr>
            <w:tcW w:w="6572" w:type="dxa"/>
            <w:noWrap w:val="0"/>
            <w:vAlign w:val="center"/>
          </w:tcPr>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color w:val="auto"/>
                <w:highlight w:val="none"/>
              </w:rPr>
              <w:t>磋商小组</w:t>
            </w:r>
            <w:r>
              <w:rPr>
                <w:rFonts w:ascii="Arial" w:hAnsi="Arial" w:eastAsia="宋体" w:cs="Arial"/>
                <w:bCs/>
                <w:color w:val="auto"/>
                <w:szCs w:val="21"/>
                <w:highlight w:val="none"/>
              </w:rPr>
              <w:t xml:space="preserve">对供应商提供的售后服务方案内容（包含但不限于：退换货方案、上门服务方案、售后响应时间、问题处理周期、纠纷解决方案、其他优惠措施等）进行独立评审并打分：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一档（0～</w:t>
            </w:r>
            <w:r>
              <w:rPr>
                <w:rFonts w:hint="eastAsia" w:ascii="Arial" w:hAnsi="Arial" w:eastAsia="宋体" w:cs="Arial"/>
                <w:bCs/>
                <w:color w:val="auto"/>
                <w:szCs w:val="21"/>
                <w:highlight w:val="none"/>
                <w:lang w:val="en-US" w:eastAsia="zh-CN"/>
              </w:rPr>
              <w:t>1</w:t>
            </w:r>
            <w:r>
              <w:rPr>
                <w:rFonts w:ascii="Arial" w:hAnsi="Arial" w:eastAsia="宋体" w:cs="Arial"/>
                <w:bCs/>
                <w:color w:val="auto"/>
                <w:szCs w:val="21"/>
                <w:highlight w:val="none"/>
              </w:rPr>
              <w:t xml:space="preserve"> 分）：方案内容不全面、合理性一般、可行性差；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二档（</w:t>
            </w:r>
            <w:r>
              <w:rPr>
                <w:rFonts w:hint="eastAsia" w:ascii="Arial" w:hAnsi="Arial" w:eastAsia="宋体" w:cs="Arial"/>
                <w:bCs/>
                <w:color w:val="auto"/>
                <w:szCs w:val="21"/>
                <w:highlight w:val="none"/>
                <w:lang w:val="en-US" w:eastAsia="zh-CN"/>
              </w:rPr>
              <w:t>2</w:t>
            </w:r>
            <w:r>
              <w:rPr>
                <w:rFonts w:ascii="Arial" w:hAnsi="Arial" w:eastAsia="宋体" w:cs="Arial"/>
                <w:bCs/>
                <w:color w:val="auto"/>
                <w:szCs w:val="21"/>
                <w:highlight w:val="none"/>
              </w:rPr>
              <w:t>～</w:t>
            </w:r>
            <w:r>
              <w:rPr>
                <w:rFonts w:hint="eastAsia" w:ascii="Arial" w:hAnsi="Arial" w:eastAsia="宋体" w:cs="Arial"/>
                <w:bCs/>
                <w:color w:val="auto"/>
                <w:szCs w:val="21"/>
                <w:highlight w:val="none"/>
                <w:lang w:val="en-US" w:eastAsia="zh-CN"/>
              </w:rPr>
              <w:t>3</w:t>
            </w:r>
            <w:r>
              <w:rPr>
                <w:rFonts w:ascii="Arial" w:hAnsi="Arial" w:eastAsia="宋体" w:cs="Arial"/>
                <w:bCs/>
                <w:color w:val="auto"/>
                <w:szCs w:val="21"/>
                <w:highlight w:val="none"/>
              </w:rPr>
              <w:t xml:space="preserve">分）：退换货方案、上门服务方案、售后响应时间、问题处理周期、纠纷解决方案、其他优惠措施等内容齐全，基本合理的； </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三档 （</w:t>
            </w:r>
            <w:r>
              <w:rPr>
                <w:rFonts w:hint="eastAsia" w:ascii="Arial" w:hAnsi="Arial" w:eastAsia="宋体" w:cs="Arial"/>
                <w:bCs/>
                <w:color w:val="auto"/>
                <w:szCs w:val="21"/>
                <w:highlight w:val="none"/>
                <w:lang w:val="en-US" w:eastAsia="zh-CN"/>
              </w:rPr>
              <w:t>4</w:t>
            </w:r>
            <w:r>
              <w:rPr>
                <w:rFonts w:ascii="Arial" w:hAnsi="Arial" w:eastAsia="宋体" w:cs="Arial"/>
                <w:bCs/>
                <w:color w:val="auto"/>
                <w:szCs w:val="21"/>
                <w:highlight w:val="none"/>
              </w:rPr>
              <w:t>～</w:t>
            </w:r>
            <w:r>
              <w:rPr>
                <w:rFonts w:hint="eastAsia" w:ascii="Arial" w:hAnsi="Arial" w:eastAsia="宋体" w:cs="Arial"/>
                <w:bCs/>
                <w:color w:val="auto"/>
                <w:szCs w:val="21"/>
                <w:highlight w:val="none"/>
                <w:lang w:val="en-US" w:eastAsia="zh-CN"/>
              </w:rPr>
              <w:t>5</w:t>
            </w:r>
            <w:r>
              <w:rPr>
                <w:rFonts w:ascii="Arial" w:hAnsi="Arial" w:eastAsia="宋体" w:cs="Arial"/>
                <w:bCs/>
                <w:color w:val="auto"/>
                <w:szCs w:val="21"/>
                <w:highlight w:val="none"/>
              </w:rPr>
              <w:t xml:space="preserve"> 分）：退换货方案、上门服务方案、售后响应时间、问题处理周期、纠纷解决方案、其他优惠措施等内容详细、调理清晰，且措施合理、可行的；</w:t>
            </w:r>
          </w:p>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r>
              <w:rPr>
                <w:rFonts w:ascii="Arial" w:hAnsi="Arial" w:eastAsia="宋体" w:cs="Arial"/>
                <w:bCs/>
                <w:color w:val="auto"/>
                <w:szCs w:val="21"/>
                <w:highlight w:val="none"/>
              </w:rPr>
              <w:t>四档（</w:t>
            </w:r>
            <w:r>
              <w:rPr>
                <w:rFonts w:hint="eastAsia" w:ascii="Arial" w:hAnsi="Arial" w:eastAsia="宋体" w:cs="Arial"/>
                <w:bCs/>
                <w:color w:val="auto"/>
                <w:szCs w:val="21"/>
                <w:highlight w:val="none"/>
                <w:lang w:val="en-US" w:eastAsia="zh-CN"/>
              </w:rPr>
              <w:t>6</w:t>
            </w:r>
            <w:r>
              <w:rPr>
                <w:rFonts w:ascii="Arial" w:hAnsi="Arial" w:eastAsia="宋体" w:cs="Arial"/>
                <w:bCs/>
                <w:color w:val="auto"/>
                <w:szCs w:val="21"/>
                <w:highlight w:val="none"/>
              </w:rPr>
              <w:t xml:space="preserve"> </w:t>
            </w:r>
            <w:r>
              <w:rPr>
                <w:rFonts w:hint="eastAsia" w:ascii="Arial" w:hAnsi="Arial" w:eastAsia="宋体" w:cs="Arial"/>
                <w:bCs/>
                <w:color w:val="auto"/>
                <w:szCs w:val="21"/>
                <w:highlight w:val="none"/>
                <w:lang w:val="en-US" w:eastAsia="zh-CN"/>
              </w:rPr>
              <w:t>~7</w:t>
            </w:r>
            <w:r>
              <w:rPr>
                <w:rFonts w:ascii="Arial" w:hAnsi="Arial" w:eastAsia="宋体" w:cs="Arial"/>
                <w:bCs/>
                <w:color w:val="auto"/>
                <w:szCs w:val="21"/>
                <w:highlight w:val="none"/>
              </w:rPr>
              <w:t>分）：退换货方案、上门服务方案、售后响应时间、问题处理周期、纠纷解决方案、其他优惠措施等内容描述详细、科学，条理清晰，科学合理，可行性强，针对性强的。</w:t>
            </w:r>
          </w:p>
        </w:tc>
        <w:tc>
          <w:tcPr>
            <w:tcW w:w="1021" w:type="dxa"/>
            <w:noWrap w:val="0"/>
            <w:vAlign w:val="center"/>
          </w:tcPr>
          <w:p>
            <w:pPr>
              <w:keepNext w:val="0"/>
              <w:keepLines w:val="0"/>
              <w:suppressLineNumbers w:val="0"/>
              <w:wordWrap w:val="0"/>
              <w:snapToGrid w:val="0"/>
              <w:spacing w:before="0" w:beforeAutospacing="0" w:after="0" w:afterAutospacing="0" w:line="264" w:lineRule="auto"/>
              <w:ind w:left="0" w:right="0"/>
              <w:rPr>
                <w:rFonts w:ascii="Arial" w:hAnsi="Arial" w:eastAsia="宋体" w:cs="Arial"/>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5</w:t>
            </w:r>
          </w:p>
        </w:tc>
        <w:tc>
          <w:tcPr>
            <w:tcW w:w="1376" w:type="dxa"/>
            <w:noWrap w:val="0"/>
            <w:vAlign w:val="center"/>
          </w:tcPr>
          <w:p>
            <w:pPr>
              <w:keepNext w:val="0"/>
              <w:keepLines w:val="0"/>
              <w:suppressLineNumbers w:val="0"/>
              <w:wordWrap w:val="0"/>
              <w:snapToGrid w:val="0"/>
              <w:spacing w:before="0" w:beforeAutospacing="0" w:after="0" w:afterAutospacing="0" w:line="264" w:lineRule="auto"/>
              <w:ind w:left="0" w:right="0"/>
              <w:jc w:val="center"/>
              <w:rPr>
                <w:rFonts w:ascii="Arial" w:hAnsi="Arial" w:eastAsia="宋体" w:cs="Arial"/>
                <w:bCs/>
                <w:color w:val="auto"/>
                <w:szCs w:val="21"/>
                <w:highlight w:val="none"/>
              </w:rPr>
            </w:pPr>
            <w:r>
              <w:rPr>
                <w:rFonts w:hint="eastAsia" w:ascii="Arial" w:hAnsi="Arial" w:eastAsia="宋体" w:cs="Arial"/>
                <w:bCs/>
                <w:color w:val="auto"/>
                <w:szCs w:val="21"/>
                <w:highlight w:val="none"/>
              </w:rPr>
              <w:t>业绩</w:t>
            </w:r>
            <w:r>
              <w:rPr>
                <w:rFonts w:ascii="Arial" w:hAnsi="Arial" w:eastAsia="宋体" w:cs="Arial"/>
                <w:bCs/>
                <w:color w:val="auto"/>
                <w:szCs w:val="21"/>
                <w:highlight w:val="none"/>
              </w:rPr>
              <w:t>分</w:t>
            </w:r>
            <w:r>
              <w:rPr>
                <w:rFonts w:hint="eastAsia" w:ascii="Arial" w:hAnsi="Arial" w:eastAsia="宋体" w:cs="Arial"/>
                <w:bCs/>
                <w:color w:val="auto"/>
                <w:szCs w:val="21"/>
                <w:highlight w:val="none"/>
                <w:lang w:val="en-US" w:eastAsia="zh-CN"/>
              </w:rPr>
              <w:t>3</w:t>
            </w:r>
            <w:r>
              <w:rPr>
                <w:rFonts w:hint="eastAsia" w:ascii="Arial" w:hAnsi="Arial" w:eastAsia="宋体" w:cs="Arial"/>
                <w:bCs/>
                <w:color w:val="auto"/>
                <w:szCs w:val="21"/>
                <w:highlight w:val="none"/>
              </w:rPr>
              <w:t>分</w:t>
            </w:r>
          </w:p>
        </w:tc>
        <w:tc>
          <w:tcPr>
            <w:tcW w:w="6572" w:type="dxa"/>
            <w:noWrap w:val="0"/>
            <w:vAlign w:val="top"/>
          </w:tcPr>
          <w:p>
            <w:pPr>
              <w:pStyle w:val="175"/>
              <w:keepNext w:val="0"/>
              <w:keepLines w:val="0"/>
              <w:suppressLineNumbers w:val="0"/>
              <w:adjustRightInd w:val="0"/>
              <w:snapToGrid w:val="0"/>
              <w:spacing w:before="0" w:beforeAutospacing="0" w:after="0" w:afterAutospacing="0" w:line="264" w:lineRule="auto"/>
              <w:ind w:left="0" w:right="0" w:firstLine="0" w:firstLineChars="0"/>
              <w:rPr>
                <w:rFonts w:ascii="Arial" w:hAnsi="Arial" w:cs="Arial"/>
                <w:color w:val="auto"/>
                <w:szCs w:val="21"/>
                <w:highlight w:val="none"/>
              </w:rPr>
            </w:pPr>
            <w:r>
              <w:rPr>
                <w:rFonts w:ascii="Arial" w:hAnsi="Arial" w:cs="Arial"/>
                <w:color w:val="auto"/>
                <w:szCs w:val="21"/>
                <w:highlight w:val="none"/>
              </w:rPr>
              <w:t>供应商 202</w:t>
            </w:r>
            <w:r>
              <w:rPr>
                <w:rFonts w:hint="eastAsia" w:ascii="Arial" w:hAnsi="Arial" w:cs="Arial"/>
                <w:color w:val="auto"/>
                <w:szCs w:val="21"/>
                <w:highlight w:val="none"/>
              </w:rPr>
              <w:t>2</w:t>
            </w:r>
            <w:r>
              <w:rPr>
                <w:rFonts w:ascii="Arial" w:hAnsi="Arial" w:cs="Arial"/>
                <w:color w:val="auto"/>
                <w:szCs w:val="21"/>
                <w:highlight w:val="none"/>
              </w:rPr>
              <w:t>年 1 月 1 日至</w:t>
            </w:r>
            <w:r>
              <w:rPr>
                <w:rFonts w:hint="eastAsia" w:ascii="Arial" w:hAnsi="Arial" w:cs="Arial"/>
                <w:color w:val="auto"/>
                <w:szCs w:val="21"/>
                <w:highlight w:val="none"/>
              </w:rPr>
              <w:t>截标</w:t>
            </w:r>
            <w:r>
              <w:rPr>
                <w:rFonts w:ascii="Arial" w:hAnsi="Arial" w:cs="Arial"/>
                <w:color w:val="auto"/>
                <w:szCs w:val="21"/>
                <w:highlight w:val="none"/>
              </w:rPr>
              <w:t xml:space="preserve">时间止具有同类项目经验的，每提供 1个得 </w:t>
            </w:r>
            <w:r>
              <w:rPr>
                <w:rFonts w:hint="eastAsia" w:ascii="Arial" w:hAnsi="Arial" w:cs="Arial"/>
                <w:color w:val="auto"/>
                <w:szCs w:val="21"/>
                <w:highlight w:val="none"/>
                <w:lang w:val="en-US" w:eastAsia="zh-CN"/>
              </w:rPr>
              <w:t>1.5</w:t>
            </w:r>
            <w:r>
              <w:rPr>
                <w:rFonts w:ascii="Arial" w:hAnsi="Arial" w:cs="Arial"/>
                <w:color w:val="auto"/>
                <w:szCs w:val="21"/>
                <w:highlight w:val="none"/>
              </w:rPr>
              <w:t>分，最多得</w:t>
            </w:r>
            <w:r>
              <w:rPr>
                <w:rFonts w:hint="eastAsia" w:ascii="Arial" w:hAnsi="Arial" w:cs="Arial"/>
                <w:color w:val="auto"/>
                <w:szCs w:val="21"/>
                <w:highlight w:val="none"/>
                <w:lang w:val="en-US" w:eastAsia="zh-CN"/>
              </w:rPr>
              <w:t>3</w:t>
            </w:r>
            <w:r>
              <w:rPr>
                <w:rFonts w:ascii="Arial" w:hAnsi="Arial" w:cs="Arial"/>
                <w:color w:val="auto"/>
                <w:szCs w:val="21"/>
                <w:highlight w:val="none"/>
              </w:rPr>
              <w:t xml:space="preserve"> 分，需提供中标（成交）通知书或合同关键页或医院凭证复印件，未提供的不予计分。 </w:t>
            </w:r>
          </w:p>
        </w:tc>
        <w:tc>
          <w:tcPr>
            <w:tcW w:w="1021" w:type="dxa"/>
            <w:noWrap w:val="0"/>
            <w:vAlign w:val="top"/>
          </w:tcPr>
          <w:p>
            <w:pPr>
              <w:pStyle w:val="175"/>
              <w:keepNext w:val="0"/>
              <w:keepLines w:val="0"/>
              <w:suppressLineNumbers w:val="0"/>
              <w:adjustRightInd w:val="0"/>
              <w:snapToGrid w:val="0"/>
              <w:spacing w:before="0" w:beforeAutospacing="0" w:after="0" w:afterAutospacing="0" w:line="264" w:lineRule="auto"/>
              <w:ind w:left="0" w:right="0" w:firstLine="0" w:firstLineChars="0"/>
              <w:rPr>
                <w:rFonts w:ascii="Arial" w:hAnsi="Arial" w:cs="Arial"/>
                <w:color w:val="auto"/>
                <w:szCs w:val="21"/>
                <w:highlight w:val="none"/>
              </w:rPr>
            </w:pPr>
          </w:p>
        </w:tc>
      </w:tr>
    </w:tbl>
    <w:p>
      <w:pPr>
        <w:rPr>
          <w:rFonts w:ascii="Arial" w:hAnsi="Arial" w:cs="Arial"/>
          <w:bCs/>
          <w:color w:val="auto"/>
          <w:highlight w:val="none"/>
        </w:rPr>
      </w:pPr>
    </w:p>
    <w:p>
      <w:pPr>
        <w:pStyle w:val="141"/>
        <w:ind w:firstLine="420"/>
        <w:rPr>
          <w:rFonts w:hint="eastAsia" w:ascii="Arial" w:hAnsi="Arial" w:cs="Arial"/>
          <w:bCs/>
          <w:color w:val="auto"/>
          <w:highlight w:val="none"/>
        </w:rPr>
      </w:pPr>
      <w:r>
        <w:rPr>
          <w:rFonts w:hint="eastAsia" w:ascii="Arial" w:hAnsi="Arial" w:cs="Arial"/>
          <w:bCs/>
          <w:color w:val="auto"/>
          <w:highlight w:val="none"/>
        </w:rPr>
        <w:t>（三）</w:t>
      </w:r>
      <w:r>
        <w:rPr>
          <w:rFonts w:ascii="Arial" w:hAnsi="Arial" w:cs="Arial"/>
          <w:color w:val="auto"/>
          <w:szCs w:val="21"/>
          <w:highlight w:val="none"/>
        </w:rPr>
        <w:t>综合得分</w:t>
      </w:r>
      <w:r>
        <w:rPr>
          <w:rFonts w:hint="eastAsia" w:ascii="Arial" w:hAnsi="Arial" w:cs="Arial"/>
          <w:color w:val="auto"/>
          <w:szCs w:val="21"/>
          <w:highlight w:val="none"/>
        </w:rPr>
        <w:t>（100分）</w:t>
      </w:r>
      <w:r>
        <w:rPr>
          <w:rFonts w:ascii="Arial" w:hAnsi="Arial" w:cs="Arial"/>
          <w:color w:val="auto"/>
          <w:szCs w:val="21"/>
          <w:highlight w:val="none"/>
        </w:rPr>
        <w:t>=1+2+3+4+5（各项评分分值计算保留小数点后两位，小数点后第三位“四舍五入”）</w:t>
      </w:r>
    </w:p>
    <w:p>
      <w:pPr>
        <w:pStyle w:val="141"/>
        <w:ind w:firstLine="420"/>
        <w:rPr>
          <w:rFonts w:ascii="Arial" w:hAnsi="Arial" w:cs="Arial"/>
          <w:bCs/>
          <w:color w:val="auto"/>
          <w:highlight w:val="none"/>
        </w:rPr>
      </w:pPr>
    </w:p>
    <w:p>
      <w:pPr>
        <w:pStyle w:val="141"/>
        <w:ind w:firstLine="420"/>
        <w:rPr>
          <w:rFonts w:ascii="Arial" w:hAnsi="Arial" w:cs="Arial"/>
          <w:bCs/>
          <w:color w:val="auto"/>
          <w:highlight w:val="none"/>
        </w:rPr>
      </w:pPr>
    </w:p>
    <w:p>
      <w:pPr>
        <w:pStyle w:val="30"/>
        <w:spacing w:line="400" w:lineRule="exact"/>
        <w:ind w:firstLine="422" w:firstLineChars="200"/>
        <w:jc w:val="left"/>
        <w:rPr>
          <w:rFonts w:ascii="Arial" w:hAnsi="Arial" w:cs="Arial"/>
          <w:bCs/>
          <w:color w:val="auto"/>
          <w:kern w:val="0"/>
          <w:sz w:val="28"/>
          <w:szCs w:val="28"/>
          <w:highlight w:val="none"/>
        </w:rPr>
      </w:pPr>
      <w:bookmarkStart w:id="287" w:name="_Toc20139"/>
      <w:bookmarkStart w:id="288" w:name="_Toc25548"/>
      <w:bookmarkStart w:id="289" w:name="_Toc20090"/>
      <w:r>
        <w:rPr>
          <w:rFonts w:ascii="Arial" w:hAnsi="Arial" w:cs="Arial"/>
          <w:b/>
          <w:bCs/>
          <w:color w:val="auto"/>
          <w:highlight w:val="none"/>
        </w:rPr>
        <w:t>三、成交候选人推荐原则</w:t>
      </w:r>
      <w:bookmarkEnd w:id="287"/>
      <w:bookmarkEnd w:id="288"/>
      <w:bookmarkEnd w:id="289"/>
    </w:p>
    <w:p>
      <w:pPr>
        <w:spacing w:line="400" w:lineRule="exact"/>
        <w:ind w:firstLine="420" w:firstLineChars="200"/>
        <w:rPr>
          <w:rFonts w:ascii="Arial" w:hAnsi="Arial" w:cs="Arial"/>
          <w:color w:val="auto"/>
          <w:szCs w:val="21"/>
          <w:highlight w:val="none"/>
        </w:rPr>
        <w:sectPr>
          <w:headerReference r:id="rId14" w:type="default"/>
          <w:footerReference r:id="rId15" w:type="default"/>
          <w:pgSz w:w="11906" w:h="16838"/>
          <w:pgMar w:top="1418" w:right="1228" w:bottom="1418" w:left="1218" w:header="851" w:footer="992" w:gutter="0"/>
          <w:cols w:space="720" w:num="1"/>
          <w:docGrid w:linePitch="312" w:charSpace="0"/>
        </w:sectPr>
      </w:pPr>
      <w:r>
        <w:rPr>
          <w:rFonts w:ascii="Arial" w:hAnsi="Arial" w:cs="Arial"/>
          <w:color w:val="auto"/>
          <w:szCs w:val="21"/>
          <w:highlight w:val="none"/>
        </w:rPr>
        <w:t>磋商小组将根据得分由高到低排列次序（得分相同时，以磋商报价由低到高顺序排列；得分相同且磋商报价相同的，</w:t>
      </w:r>
      <w:r>
        <w:rPr>
          <w:rFonts w:hint="eastAsia" w:ascii="Arial" w:hAnsi="Arial" w:cs="Arial"/>
          <w:color w:val="auto"/>
          <w:szCs w:val="21"/>
          <w:highlight w:val="none"/>
        </w:rPr>
        <w:t>依次</w:t>
      </w:r>
      <w:r>
        <w:rPr>
          <w:rFonts w:ascii="Arial" w:hAnsi="Arial" w:cs="Arial"/>
          <w:color w:val="auto"/>
          <w:szCs w:val="21"/>
          <w:highlight w:val="none"/>
        </w:rPr>
        <w:t>按</w:t>
      </w:r>
      <w:r>
        <w:rPr>
          <w:rFonts w:hint="eastAsia"/>
          <w:color w:val="auto"/>
          <w:spacing w:val="7"/>
          <w:highlight w:val="none"/>
          <w:lang w:val="en-US" w:eastAsia="zh-CN"/>
        </w:rPr>
        <w:t>中药饮片</w:t>
      </w:r>
      <w:r>
        <w:rPr>
          <w:rFonts w:ascii="Arial" w:hAnsi="Arial" w:cs="Arial"/>
          <w:bCs/>
          <w:color w:val="auto"/>
          <w:szCs w:val="21"/>
          <w:highlight w:val="none"/>
        </w:rPr>
        <w:t>质量保障方案</w:t>
      </w:r>
      <w:r>
        <w:rPr>
          <w:rFonts w:hint="eastAsia" w:ascii="Arial" w:hAnsi="Arial" w:cs="Arial"/>
          <w:color w:val="auto"/>
          <w:szCs w:val="21"/>
          <w:highlight w:val="none"/>
        </w:rPr>
        <w:t>、</w:t>
      </w:r>
      <w:r>
        <w:rPr>
          <w:rFonts w:hint="eastAsia"/>
          <w:color w:val="auto"/>
          <w:spacing w:val="7"/>
          <w:highlight w:val="none"/>
          <w:lang w:val="en-US" w:eastAsia="zh-CN"/>
        </w:rPr>
        <w:t>代煎</w:t>
      </w:r>
      <w:r>
        <w:rPr>
          <w:color w:val="auto"/>
          <w:spacing w:val="7"/>
          <w:highlight w:val="none"/>
        </w:rPr>
        <w:t>质</w:t>
      </w:r>
      <w:r>
        <w:rPr>
          <w:color w:val="auto"/>
          <w:spacing w:val="9"/>
          <w:highlight w:val="none"/>
        </w:rPr>
        <w:t>量</w:t>
      </w:r>
      <w:r>
        <w:rPr>
          <w:color w:val="auto"/>
          <w:spacing w:val="7"/>
          <w:highlight w:val="none"/>
        </w:rPr>
        <w:t>控</w:t>
      </w:r>
      <w:r>
        <w:rPr>
          <w:color w:val="auto"/>
          <w:spacing w:val="9"/>
          <w:highlight w:val="none"/>
        </w:rPr>
        <w:t>制方案</w:t>
      </w:r>
      <w:r>
        <w:rPr>
          <w:rFonts w:hint="eastAsia" w:ascii="Arial" w:hAnsi="Arial" w:cs="Arial"/>
          <w:color w:val="auto"/>
          <w:szCs w:val="21"/>
          <w:highlight w:val="none"/>
        </w:rPr>
        <w:t>、</w:t>
      </w:r>
      <w:r>
        <w:rPr>
          <w:rFonts w:hint="eastAsia" w:ascii="Arial" w:hAnsi="Arial" w:cs="Arial"/>
          <w:color w:val="auto"/>
          <w:szCs w:val="21"/>
          <w:highlight w:val="none"/>
          <w:lang w:val="en-US" w:eastAsia="zh-CN"/>
        </w:rPr>
        <w:t>服务能力</w:t>
      </w:r>
      <w:r>
        <w:rPr>
          <w:rFonts w:hint="eastAsia" w:ascii="Arial" w:hAnsi="Arial" w:cs="Arial"/>
          <w:color w:val="auto"/>
          <w:szCs w:val="21"/>
          <w:highlight w:val="none"/>
        </w:rPr>
        <w:t>、</w:t>
      </w:r>
      <w:r>
        <w:rPr>
          <w:rFonts w:ascii="Arial" w:hAnsi="Arial" w:cs="Arial"/>
          <w:bCs/>
          <w:color w:val="auto"/>
          <w:szCs w:val="21"/>
          <w:highlight w:val="none"/>
        </w:rPr>
        <w:t>售后服务实施方案</w:t>
      </w:r>
      <w:r>
        <w:rPr>
          <w:rFonts w:ascii="Arial" w:hAnsi="Arial" w:cs="Arial"/>
          <w:color w:val="auto"/>
          <w:szCs w:val="21"/>
          <w:highlight w:val="none"/>
        </w:rPr>
        <w:t>优劣顺序排列）并</w:t>
      </w:r>
      <w:r>
        <w:rPr>
          <w:rFonts w:ascii="Arial" w:hAnsi="Arial" w:cs="Arial"/>
          <w:color w:val="auto"/>
          <w:szCs w:val="21"/>
          <w:highlight w:val="none"/>
        </w:rPr>
        <w:t>推荐前</w:t>
      </w:r>
      <w:r>
        <w:rPr>
          <w:rFonts w:hint="eastAsia" w:ascii="Arial" w:hAnsi="Arial" w:cs="Arial"/>
          <w:color w:val="auto"/>
          <w:szCs w:val="21"/>
          <w:highlight w:val="none"/>
          <w:lang w:val="en-US" w:eastAsia="zh-CN"/>
        </w:rPr>
        <w:t>四</w:t>
      </w:r>
      <w:r>
        <w:rPr>
          <w:rFonts w:ascii="Arial" w:hAnsi="Arial" w:cs="Arial"/>
          <w:color w:val="auto"/>
          <w:szCs w:val="21"/>
          <w:highlight w:val="none"/>
        </w:rPr>
        <w:t>名为成交候选人。</w:t>
      </w:r>
      <w:r>
        <w:rPr>
          <w:rFonts w:hint="eastAsia" w:ascii="Arial" w:hAnsi="Arial" w:cs="Arial"/>
          <w:color w:val="auto"/>
          <w:szCs w:val="21"/>
          <w:highlight w:val="none"/>
        </w:rPr>
        <w:t>采购人应当确定磋商小组推荐排名</w:t>
      </w:r>
      <w:r>
        <w:rPr>
          <w:rFonts w:hint="eastAsia" w:ascii="Arial" w:hAnsi="Arial" w:cs="Arial"/>
          <w:color w:val="auto"/>
          <w:szCs w:val="21"/>
          <w:highlight w:val="none"/>
          <w:lang w:val="en-US" w:eastAsia="zh-CN"/>
        </w:rPr>
        <w:t>前二</w:t>
      </w:r>
      <w:r>
        <w:rPr>
          <w:rFonts w:hint="eastAsia" w:ascii="Arial" w:hAnsi="Arial" w:cs="Arial"/>
          <w:color w:val="auto"/>
          <w:szCs w:val="21"/>
          <w:highlight w:val="none"/>
        </w:rPr>
        <w:t>的成交候选人为成交供应商</w:t>
      </w:r>
      <w:r>
        <w:rPr>
          <w:rFonts w:hint="eastAsia" w:ascii="Arial" w:hAnsi="Arial" w:cs="Arial"/>
          <w:color w:val="auto"/>
          <w:szCs w:val="21"/>
          <w:highlight w:val="none"/>
          <w:lang w:eastAsia="zh-CN"/>
        </w:rPr>
        <w:t>，采购人根据自己实际情况从成交</w:t>
      </w:r>
      <w:r>
        <w:rPr>
          <w:rFonts w:hint="eastAsia" w:ascii="Arial" w:hAnsi="Arial" w:cs="Arial"/>
          <w:color w:val="auto"/>
          <w:szCs w:val="21"/>
          <w:highlight w:val="none"/>
          <w:lang w:val="en-US" w:eastAsia="zh-CN"/>
        </w:rPr>
        <w:t>供应商</w:t>
      </w:r>
      <w:r>
        <w:rPr>
          <w:rFonts w:hint="eastAsia" w:ascii="Arial" w:hAnsi="Arial" w:cs="Arial"/>
          <w:color w:val="auto"/>
          <w:szCs w:val="21"/>
          <w:highlight w:val="none"/>
          <w:lang w:eastAsia="zh-CN"/>
        </w:rPr>
        <w:t>当中确定最终代煎服务</w:t>
      </w:r>
      <w:r>
        <w:rPr>
          <w:rFonts w:ascii="Arial" w:hAnsi="Arial" w:cs="Arial"/>
          <w:color w:val="auto"/>
          <w:szCs w:val="21"/>
          <w:highlight w:val="none"/>
        </w:rPr>
        <w:t>。</w:t>
      </w:r>
      <w:r>
        <w:rPr>
          <w:rFonts w:hint="eastAsia" w:ascii="Arial" w:hAnsi="Arial" w:cs="Arial"/>
          <w:color w:val="auto"/>
          <w:szCs w:val="21"/>
          <w:highlight w:val="none"/>
        </w:rPr>
        <w:t>排名第一</w:t>
      </w:r>
      <w:r>
        <w:rPr>
          <w:rFonts w:hint="eastAsia" w:ascii="Arial" w:hAnsi="Arial" w:cs="Arial"/>
          <w:color w:val="auto"/>
          <w:szCs w:val="21"/>
          <w:highlight w:val="none"/>
          <w:lang w:val="en-US" w:eastAsia="zh-CN"/>
        </w:rPr>
        <w:t>或第二</w:t>
      </w:r>
      <w:r>
        <w:rPr>
          <w:rFonts w:hint="eastAsia" w:ascii="Arial" w:hAnsi="Arial" w:cs="Arial"/>
          <w:color w:val="auto"/>
          <w:szCs w:val="21"/>
          <w:highlight w:val="none"/>
        </w:rPr>
        <w:t>的成交候选人拒绝与采购人签订合同的、因不可抗力提出不能履行合同，采购人可以确定排名第</w:t>
      </w:r>
      <w:r>
        <w:rPr>
          <w:rFonts w:hint="eastAsia" w:ascii="Arial" w:hAnsi="Arial" w:cs="Arial"/>
          <w:color w:val="auto"/>
          <w:szCs w:val="21"/>
          <w:highlight w:val="none"/>
          <w:lang w:val="en-US" w:eastAsia="zh-CN"/>
        </w:rPr>
        <w:t>三</w:t>
      </w:r>
      <w:r>
        <w:rPr>
          <w:rFonts w:hint="eastAsia" w:ascii="Arial" w:hAnsi="Arial" w:cs="Arial"/>
          <w:color w:val="auto"/>
          <w:szCs w:val="21"/>
          <w:highlight w:val="none"/>
        </w:rPr>
        <w:t>的成交候选人为成交供应商，也可以重新采购；排名第</w:t>
      </w:r>
      <w:r>
        <w:rPr>
          <w:rFonts w:hint="eastAsia" w:ascii="Arial" w:hAnsi="Arial" w:cs="Arial"/>
          <w:color w:val="auto"/>
          <w:szCs w:val="21"/>
          <w:highlight w:val="none"/>
          <w:lang w:val="en-US" w:eastAsia="zh-CN"/>
        </w:rPr>
        <w:t>三</w:t>
      </w:r>
      <w:r>
        <w:rPr>
          <w:rFonts w:hint="eastAsia" w:ascii="Arial" w:hAnsi="Arial" w:cs="Arial"/>
          <w:color w:val="auto"/>
          <w:szCs w:val="21"/>
          <w:highlight w:val="none"/>
        </w:rPr>
        <w:t>的成交候选人因前款规定的同样原因不能签订合同的，采购人可以确定排名第</w:t>
      </w:r>
      <w:r>
        <w:rPr>
          <w:rFonts w:hint="eastAsia" w:ascii="Arial" w:hAnsi="Arial" w:cs="Arial"/>
          <w:color w:val="auto"/>
          <w:szCs w:val="21"/>
          <w:highlight w:val="none"/>
          <w:lang w:val="en-US" w:eastAsia="zh-CN"/>
        </w:rPr>
        <w:t>四</w:t>
      </w:r>
      <w:r>
        <w:rPr>
          <w:rFonts w:hint="eastAsia" w:ascii="Arial" w:hAnsi="Arial" w:cs="Arial"/>
          <w:color w:val="auto"/>
          <w:szCs w:val="21"/>
          <w:highlight w:val="none"/>
        </w:rPr>
        <w:t>的成交候选人为成交供应商或重新采购。</w:t>
      </w:r>
    </w:p>
    <w:p>
      <w:pPr>
        <w:pStyle w:val="2"/>
        <w:spacing w:line="360" w:lineRule="auto"/>
        <w:rPr>
          <w:rFonts w:ascii="Arial" w:hAnsi="Arial" w:eastAsia="宋体" w:cs="Arial"/>
          <w:b/>
          <w:bCs w:val="0"/>
          <w:color w:val="auto"/>
          <w:szCs w:val="32"/>
          <w:highlight w:val="none"/>
        </w:rPr>
      </w:pPr>
    </w:p>
    <w:p>
      <w:pPr>
        <w:pStyle w:val="2"/>
        <w:spacing w:line="360" w:lineRule="auto"/>
        <w:rPr>
          <w:rFonts w:ascii="Arial" w:hAnsi="Arial" w:eastAsia="宋体" w:cs="Arial"/>
          <w:b/>
          <w:bCs w:val="0"/>
          <w:color w:val="auto"/>
          <w:szCs w:val="32"/>
          <w:highlight w:val="none"/>
        </w:rPr>
      </w:pPr>
      <w:bookmarkStart w:id="290" w:name="_Toc21773"/>
      <w:r>
        <w:rPr>
          <w:rFonts w:ascii="Arial" w:hAnsi="Arial" w:eastAsia="宋体" w:cs="Arial"/>
          <w:b/>
          <w:bCs w:val="0"/>
          <w:color w:val="auto"/>
          <w:szCs w:val="32"/>
          <w:highlight w:val="none"/>
        </w:rPr>
        <w:t>第六章 响应文件格式</w:t>
      </w:r>
      <w:bookmarkEnd w:id="290"/>
    </w:p>
    <w:p>
      <w:pPr>
        <w:snapToGrid w:val="0"/>
        <w:spacing w:before="156" w:after="50" w:line="360" w:lineRule="exact"/>
        <w:jc w:val="right"/>
        <w:rPr>
          <w:rFonts w:ascii="Arial" w:hAnsi="Arial" w:cs="Arial"/>
          <w:color w:val="auto"/>
          <w:szCs w:val="21"/>
          <w:highlight w:val="none"/>
        </w:rPr>
      </w:pPr>
    </w:p>
    <w:p>
      <w:pPr>
        <w:rPr>
          <w:rFonts w:ascii="Arial" w:hAnsi="Arial" w:cs="Arial"/>
          <w:color w:val="auto"/>
          <w:sz w:val="28"/>
          <w:szCs w:val="28"/>
          <w:highlight w:val="none"/>
        </w:rPr>
      </w:pPr>
      <w:r>
        <w:rPr>
          <w:rFonts w:ascii="Arial" w:hAnsi="Arial" w:cs="Arial"/>
          <w:color w:val="auto"/>
          <w:sz w:val="28"/>
          <w:szCs w:val="28"/>
          <w:highlight w:val="none"/>
        </w:rPr>
        <w:t>响应文件的编写要求</w:t>
      </w:r>
    </w:p>
    <w:p>
      <w:pPr>
        <w:rPr>
          <w:rFonts w:ascii="Arial" w:hAnsi="Arial" w:cs="Arial"/>
          <w:color w:val="auto"/>
          <w:sz w:val="28"/>
          <w:szCs w:val="28"/>
          <w:highlight w:val="none"/>
        </w:rPr>
      </w:pPr>
    </w:p>
    <w:p>
      <w:pPr>
        <w:spacing w:line="500" w:lineRule="exact"/>
        <w:ind w:firstLine="480" w:firstLineChars="200"/>
        <w:rPr>
          <w:rFonts w:ascii="Arial" w:hAnsi="Arial" w:cs="Arial"/>
          <w:color w:val="auto"/>
          <w:sz w:val="24"/>
          <w:highlight w:val="none"/>
        </w:rPr>
      </w:pPr>
      <w:r>
        <w:rPr>
          <w:rFonts w:ascii="Arial" w:hAnsi="Arial" w:cs="Arial"/>
          <w:color w:val="auto"/>
          <w:sz w:val="24"/>
          <w:highlight w:val="none"/>
        </w:rPr>
        <w:t>1.响应文件应分</w:t>
      </w:r>
      <w:r>
        <w:rPr>
          <w:rFonts w:hint="eastAsia" w:ascii="Arial" w:hAnsi="Arial" w:cs="Arial"/>
          <w:color w:val="auto"/>
          <w:sz w:val="24"/>
          <w:highlight w:val="none"/>
        </w:rPr>
        <w:t>1</w:t>
      </w:r>
      <w:r>
        <w:rPr>
          <w:rFonts w:ascii="Arial" w:hAnsi="Arial" w:cs="Arial"/>
          <w:color w:val="auto"/>
          <w:sz w:val="24"/>
          <w:highlight w:val="none"/>
        </w:rPr>
        <w:t>个密封袋。文件材料包括纸质版响应文件以及电子版响应文件。</w:t>
      </w:r>
    </w:p>
    <w:p>
      <w:pPr>
        <w:spacing w:line="500" w:lineRule="exact"/>
        <w:ind w:firstLine="480" w:firstLineChars="200"/>
        <w:rPr>
          <w:rFonts w:ascii="Arial" w:hAnsi="Arial" w:cs="Arial"/>
          <w:color w:val="auto"/>
          <w:sz w:val="24"/>
          <w:highlight w:val="none"/>
        </w:rPr>
      </w:pPr>
      <w:r>
        <w:rPr>
          <w:rFonts w:ascii="Arial" w:hAnsi="Arial" w:cs="Arial"/>
          <w:color w:val="auto"/>
          <w:sz w:val="24"/>
          <w:highlight w:val="none"/>
        </w:rPr>
        <w:t>2.第六章标注“必须提供”的，应按要求必须提供。</w:t>
      </w:r>
    </w:p>
    <w:p>
      <w:pPr>
        <w:spacing w:line="500" w:lineRule="exact"/>
        <w:ind w:firstLine="480" w:firstLineChars="200"/>
        <w:rPr>
          <w:rFonts w:ascii="Arial" w:hAnsi="Arial" w:cs="Arial"/>
          <w:color w:val="auto"/>
          <w:sz w:val="24"/>
          <w:highlight w:val="none"/>
        </w:rPr>
      </w:pPr>
      <w:r>
        <w:rPr>
          <w:rFonts w:ascii="Arial" w:hAnsi="Arial" w:cs="Arial"/>
          <w:color w:val="auto"/>
          <w:sz w:val="24"/>
          <w:highlight w:val="none"/>
        </w:rPr>
        <w:t>未标注“必须提供”，供应商可自行调整，但响应文件编排混乱导致被误读或查找不到，后果由供应商承担。</w:t>
      </w:r>
    </w:p>
    <w:p>
      <w:pPr>
        <w:snapToGrid w:val="0"/>
        <w:spacing w:before="120" w:beforeLines="50" w:after="50" w:line="440" w:lineRule="exact"/>
        <w:outlineLvl w:val="1"/>
        <w:rPr>
          <w:rFonts w:ascii="Arial" w:hAnsi="Arial" w:cs="Arial"/>
          <w:b/>
          <w:color w:val="auto"/>
          <w:sz w:val="24"/>
          <w:highlight w:val="none"/>
        </w:rPr>
      </w:pPr>
      <w:r>
        <w:rPr>
          <w:rFonts w:ascii="Arial" w:hAnsi="Arial" w:cs="Arial"/>
          <w:color w:val="auto"/>
          <w:highlight w:val="none"/>
        </w:rPr>
        <w:br w:type="page"/>
      </w:r>
      <w:bookmarkStart w:id="291" w:name="_Toc18699"/>
      <w:bookmarkStart w:id="292" w:name="_Toc29640"/>
      <w:bookmarkStart w:id="293" w:name="_Toc18677"/>
      <w:r>
        <w:rPr>
          <w:rFonts w:ascii="Arial" w:hAnsi="Arial" w:cs="Arial"/>
          <w:b/>
          <w:color w:val="auto"/>
          <w:sz w:val="24"/>
          <w:highlight w:val="none"/>
        </w:rPr>
        <w:t>响应文件的外包装封面格式：</w:t>
      </w:r>
      <w:bookmarkEnd w:id="291"/>
      <w:bookmarkEnd w:id="292"/>
      <w:bookmarkEnd w:id="293"/>
    </w:p>
    <w:p>
      <w:pPr>
        <w:pStyle w:val="21"/>
        <w:rPr>
          <w:rFonts w:ascii="Arial" w:hAnsi="Arial" w:cs="Arial"/>
          <w:color w:val="auto"/>
          <w:highlight w:val="none"/>
        </w:rPr>
      </w:pPr>
    </w:p>
    <w:p>
      <w:pPr>
        <w:snapToGrid w:val="0"/>
        <w:spacing w:before="156" w:after="50" w:line="360" w:lineRule="exact"/>
        <w:jc w:val="right"/>
        <w:rPr>
          <w:rFonts w:ascii="Arial" w:hAnsi="Arial" w:cs="Arial"/>
          <w:color w:val="auto"/>
          <w:szCs w:val="21"/>
          <w:highlight w:val="none"/>
        </w:rPr>
      </w:pPr>
    </w:p>
    <w:p>
      <w:pPr>
        <w:spacing w:line="440" w:lineRule="exact"/>
        <w:ind w:firstLine="420"/>
        <w:rPr>
          <w:rFonts w:ascii="Arial" w:hAnsi="Arial" w:cs="Arial"/>
          <w:color w:val="auto"/>
          <w:sz w:val="22"/>
          <w:highlight w:val="none"/>
        </w:rPr>
      </w:pPr>
    </w:p>
    <w:p>
      <w:pPr>
        <w:jc w:val="center"/>
        <w:rPr>
          <w:rFonts w:ascii="Arial" w:hAnsi="Arial" w:cs="Arial"/>
          <w:color w:val="auto"/>
          <w:w w:val="90"/>
          <w:sz w:val="52"/>
          <w:highlight w:val="none"/>
        </w:rPr>
      </w:pPr>
      <w:r>
        <w:rPr>
          <w:rFonts w:ascii="Arial" w:hAnsi="Arial" w:cs="Arial"/>
          <w:color w:val="auto"/>
          <w:w w:val="90"/>
          <w:sz w:val="52"/>
          <w:highlight w:val="none"/>
        </w:rPr>
        <w:t>响  应 文 件</w:t>
      </w:r>
    </w:p>
    <w:p>
      <w:pPr>
        <w:jc w:val="center"/>
        <w:rPr>
          <w:rFonts w:ascii="Arial" w:hAnsi="Arial" w:cs="Arial"/>
          <w:color w:val="auto"/>
          <w:w w:val="90"/>
          <w:sz w:val="52"/>
          <w:highlight w:val="none"/>
        </w:rPr>
      </w:pPr>
    </w:p>
    <w:p>
      <w:pPr>
        <w:rPr>
          <w:rFonts w:ascii="Arial" w:hAnsi="Arial" w:cs="Arial"/>
          <w:color w:val="auto"/>
          <w:sz w:val="40"/>
          <w:highlight w:val="none"/>
        </w:rPr>
      </w:pPr>
    </w:p>
    <w:p>
      <w:pPr>
        <w:snapToGrid w:val="0"/>
        <w:spacing w:before="120" w:beforeLines="50" w:after="50" w:line="440" w:lineRule="exact"/>
        <w:ind w:firstLine="720" w:firstLineChars="300"/>
        <w:rPr>
          <w:rFonts w:ascii="Arial" w:hAnsi="Arial" w:cs="Arial"/>
          <w:bCs/>
          <w:color w:val="auto"/>
          <w:sz w:val="24"/>
          <w:highlight w:val="none"/>
        </w:rPr>
      </w:pPr>
      <w:r>
        <w:rPr>
          <w:rFonts w:ascii="Arial" w:hAnsi="Arial" w:cs="Arial"/>
          <w:bCs/>
          <w:color w:val="auto"/>
          <w:sz w:val="24"/>
          <w:highlight w:val="none"/>
        </w:rPr>
        <w:t xml:space="preserve">项目名称： </w:t>
      </w:r>
    </w:p>
    <w:p>
      <w:pPr>
        <w:snapToGrid w:val="0"/>
        <w:spacing w:before="120" w:beforeLines="50" w:after="50" w:line="440" w:lineRule="exact"/>
        <w:ind w:firstLine="720" w:firstLineChars="300"/>
        <w:rPr>
          <w:rFonts w:ascii="Arial" w:hAnsi="Arial" w:cs="Arial"/>
          <w:bCs/>
          <w:color w:val="auto"/>
          <w:sz w:val="24"/>
          <w:highlight w:val="none"/>
        </w:rPr>
      </w:pPr>
      <w:r>
        <w:rPr>
          <w:rFonts w:ascii="Arial" w:hAnsi="Arial" w:cs="Arial"/>
          <w:bCs/>
          <w:color w:val="auto"/>
          <w:sz w:val="24"/>
          <w:highlight w:val="none"/>
        </w:rPr>
        <w:t xml:space="preserve">项目编号： </w:t>
      </w:r>
    </w:p>
    <w:p>
      <w:pPr>
        <w:snapToGrid w:val="0"/>
        <w:spacing w:before="120" w:beforeLines="50" w:after="50" w:line="440" w:lineRule="exact"/>
        <w:ind w:firstLine="720" w:firstLineChars="300"/>
        <w:rPr>
          <w:rFonts w:ascii="Arial" w:hAnsi="Arial" w:cs="Arial"/>
          <w:bCs/>
          <w:color w:val="auto"/>
          <w:sz w:val="24"/>
          <w:highlight w:val="none"/>
        </w:rPr>
      </w:pPr>
      <w:r>
        <w:rPr>
          <w:rFonts w:ascii="Arial" w:hAnsi="Arial" w:cs="Arial"/>
          <w:bCs/>
          <w:color w:val="auto"/>
          <w:sz w:val="24"/>
          <w:highlight w:val="none"/>
        </w:rPr>
        <w:t>分包：（若无划“/”）</w:t>
      </w:r>
    </w:p>
    <w:p>
      <w:pPr>
        <w:pStyle w:val="7"/>
        <w:snapToGrid w:val="0"/>
        <w:spacing w:before="50" w:after="50" w:line="440" w:lineRule="exact"/>
        <w:ind w:firstLine="720" w:firstLineChars="300"/>
        <w:rPr>
          <w:rFonts w:ascii="Arial" w:hAnsi="Arial" w:cs="Arial"/>
          <w:bCs/>
          <w:color w:val="auto"/>
          <w:sz w:val="24"/>
          <w:szCs w:val="24"/>
          <w:highlight w:val="none"/>
        </w:rPr>
      </w:pPr>
      <w:r>
        <w:rPr>
          <w:rFonts w:ascii="Arial" w:hAnsi="Arial" w:cs="Arial"/>
          <w:bCs/>
          <w:color w:val="auto"/>
          <w:sz w:val="24"/>
          <w:szCs w:val="24"/>
          <w:highlight w:val="none"/>
        </w:rPr>
        <w:t>响应文件名称：纸质版响应文件、电子版响应文件</w:t>
      </w:r>
    </w:p>
    <w:p>
      <w:pPr>
        <w:pStyle w:val="7"/>
        <w:snapToGrid w:val="0"/>
        <w:spacing w:before="50" w:after="50" w:line="440" w:lineRule="exact"/>
        <w:ind w:firstLine="720" w:firstLineChars="300"/>
        <w:rPr>
          <w:rFonts w:ascii="Arial" w:hAnsi="Arial" w:cs="Arial"/>
          <w:bCs/>
          <w:color w:val="auto"/>
          <w:sz w:val="24"/>
          <w:szCs w:val="24"/>
          <w:highlight w:val="none"/>
        </w:rPr>
      </w:pPr>
      <w:r>
        <w:rPr>
          <w:rFonts w:ascii="Arial" w:hAnsi="Arial" w:cs="Arial"/>
          <w:bCs/>
          <w:color w:val="auto"/>
          <w:sz w:val="24"/>
          <w:szCs w:val="24"/>
          <w:highlight w:val="none"/>
        </w:rPr>
        <w:t>供应商名称：</w:t>
      </w:r>
    </w:p>
    <w:p>
      <w:pPr>
        <w:pStyle w:val="7"/>
        <w:snapToGrid w:val="0"/>
        <w:spacing w:before="50" w:after="50" w:line="440" w:lineRule="exact"/>
        <w:ind w:firstLine="720" w:firstLineChars="300"/>
        <w:rPr>
          <w:rFonts w:ascii="Arial" w:hAnsi="Arial" w:cs="Arial"/>
          <w:bCs/>
          <w:color w:val="auto"/>
          <w:sz w:val="24"/>
          <w:szCs w:val="24"/>
          <w:highlight w:val="none"/>
        </w:rPr>
      </w:pPr>
      <w:r>
        <w:rPr>
          <w:rFonts w:ascii="Arial" w:hAnsi="Arial" w:cs="Arial"/>
          <w:bCs/>
          <w:color w:val="auto"/>
          <w:sz w:val="24"/>
          <w:szCs w:val="24"/>
          <w:highlight w:val="none"/>
        </w:rPr>
        <w:t>供应商地址：</w:t>
      </w:r>
    </w:p>
    <w:p>
      <w:pPr>
        <w:pStyle w:val="7"/>
        <w:snapToGrid w:val="0"/>
        <w:spacing w:before="50" w:after="50" w:line="440" w:lineRule="exact"/>
        <w:ind w:firstLine="720" w:firstLineChars="300"/>
        <w:rPr>
          <w:rFonts w:ascii="Arial" w:hAnsi="Arial" w:cs="Arial"/>
          <w:bCs/>
          <w:color w:val="auto"/>
          <w:sz w:val="24"/>
          <w:szCs w:val="24"/>
          <w:highlight w:val="none"/>
        </w:rPr>
      </w:pPr>
      <w:r>
        <w:rPr>
          <w:rFonts w:ascii="Arial" w:hAnsi="Arial" w:cs="Arial"/>
          <w:bCs/>
          <w:color w:val="auto"/>
          <w:sz w:val="24"/>
          <w:szCs w:val="24"/>
          <w:highlight w:val="none"/>
        </w:rPr>
        <w:t>在  年  月  日  时  分之前不得启封</w:t>
      </w:r>
    </w:p>
    <w:p>
      <w:pPr>
        <w:pStyle w:val="7"/>
        <w:snapToGrid w:val="0"/>
        <w:spacing w:before="50" w:after="50" w:line="440" w:lineRule="exact"/>
        <w:ind w:firstLine="720" w:firstLineChars="300"/>
        <w:rPr>
          <w:rFonts w:ascii="Arial" w:hAnsi="Arial" w:cs="Arial"/>
          <w:bCs/>
          <w:color w:val="auto"/>
          <w:sz w:val="24"/>
          <w:szCs w:val="24"/>
          <w:highlight w:val="none"/>
        </w:rPr>
      </w:pPr>
      <w:r>
        <w:rPr>
          <w:rFonts w:ascii="Arial" w:hAnsi="Arial" w:cs="Arial"/>
          <w:bCs/>
          <w:color w:val="auto"/>
          <w:sz w:val="24"/>
          <w:szCs w:val="24"/>
          <w:highlight w:val="none"/>
        </w:rPr>
        <w:t>截标时启封</w:t>
      </w:r>
    </w:p>
    <w:p>
      <w:pPr>
        <w:snapToGrid w:val="0"/>
        <w:spacing w:before="120" w:beforeLines="50" w:after="50" w:line="440" w:lineRule="exact"/>
        <w:ind w:firstLine="4080" w:firstLineChars="1700"/>
        <w:rPr>
          <w:rFonts w:ascii="Arial" w:hAnsi="Arial" w:cs="Arial"/>
          <w:bCs/>
          <w:color w:val="auto"/>
          <w:sz w:val="24"/>
          <w:highlight w:val="none"/>
        </w:rPr>
      </w:pPr>
    </w:p>
    <w:p>
      <w:pPr>
        <w:wordWrap w:val="0"/>
        <w:jc w:val="right"/>
        <w:rPr>
          <w:rFonts w:ascii="Arial" w:hAnsi="Arial" w:cs="Arial"/>
          <w:color w:val="auto"/>
          <w:sz w:val="24"/>
          <w:highlight w:val="none"/>
        </w:rPr>
      </w:pPr>
      <w:r>
        <w:rPr>
          <w:rFonts w:ascii="Arial" w:hAnsi="Arial" w:cs="Arial"/>
          <w:bCs/>
          <w:color w:val="auto"/>
          <w:sz w:val="24"/>
          <w:highlight w:val="none"/>
        </w:rPr>
        <w:t xml:space="preserve">                       年  月  日            </w:t>
      </w:r>
    </w:p>
    <w:p>
      <w:pPr>
        <w:rPr>
          <w:rFonts w:ascii="Arial" w:hAnsi="Arial" w:cs="Arial"/>
          <w:color w:val="auto"/>
          <w:sz w:val="24"/>
          <w:highlight w:val="none"/>
        </w:rPr>
      </w:pPr>
    </w:p>
    <w:p>
      <w:pPr>
        <w:jc w:val="center"/>
        <w:rPr>
          <w:rFonts w:ascii="Arial" w:hAnsi="Arial" w:cs="Arial"/>
          <w:color w:val="auto"/>
          <w:sz w:val="24"/>
          <w:highlight w:val="none"/>
        </w:rPr>
        <w:sectPr>
          <w:headerReference r:id="rId17" w:type="first"/>
          <w:headerReference r:id="rId16" w:type="default"/>
          <w:footerReference r:id="rId18" w:type="default"/>
          <w:pgSz w:w="11906" w:h="16838"/>
          <w:pgMar w:top="1134" w:right="1134" w:bottom="1134" w:left="1134" w:header="680" w:footer="907" w:gutter="0"/>
          <w:cols w:space="720" w:num="1"/>
          <w:titlePg/>
          <w:docGrid w:linePitch="271" w:charSpace="0"/>
        </w:sectPr>
      </w:pPr>
    </w:p>
    <w:p>
      <w:pPr>
        <w:snapToGrid w:val="0"/>
        <w:spacing w:before="156" w:beforeLines="50" w:after="50" w:line="440" w:lineRule="exact"/>
        <w:jc w:val="left"/>
        <w:outlineLvl w:val="1"/>
        <w:rPr>
          <w:rFonts w:ascii="Arial" w:hAnsi="Arial" w:cs="Arial"/>
          <w:b/>
          <w:color w:val="auto"/>
          <w:sz w:val="24"/>
          <w:highlight w:val="none"/>
        </w:rPr>
      </w:pPr>
      <w:r>
        <w:rPr>
          <w:rFonts w:ascii="Arial" w:hAnsi="Arial" w:cs="Arial"/>
          <w:color w:val="auto"/>
          <w:sz w:val="24"/>
          <w:highlight w:val="none"/>
        </w:rPr>
        <w:br w:type="page"/>
      </w:r>
      <w:bookmarkStart w:id="294" w:name="_Toc1040"/>
      <w:bookmarkStart w:id="295" w:name="_Toc18614"/>
      <w:bookmarkStart w:id="296" w:name="_Toc676"/>
      <w:r>
        <w:rPr>
          <w:rFonts w:ascii="Arial" w:hAnsi="Arial" w:cs="Arial"/>
          <w:b/>
          <w:color w:val="auto"/>
          <w:sz w:val="24"/>
          <w:highlight w:val="none"/>
        </w:rPr>
        <w:t>响应文件纸质版封面格式：</w:t>
      </w:r>
      <w:bookmarkEnd w:id="294"/>
      <w:bookmarkEnd w:id="295"/>
      <w:bookmarkEnd w:id="296"/>
      <w:r>
        <w:rPr>
          <w:rFonts w:ascii="Arial" w:hAnsi="Arial" w:cs="Arial"/>
          <w:b/>
          <w:color w:val="auto"/>
          <w:sz w:val="24"/>
          <w:highlight w:val="none"/>
        </w:rPr>
        <w:t xml:space="preserve"> </w:t>
      </w:r>
    </w:p>
    <w:p>
      <w:pPr>
        <w:snapToGrid w:val="0"/>
        <w:spacing w:before="156" w:beforeLines="50" w:after="50" w:line="360" w:lineRule="exact"/>
        <w:rPr>
          <w:rFonts w:ascii="Arial" w:hAnsi="Arial" w:cs="Arial"/>
          <w:color w:val="auto"/>
          <w:sz w:val="24"/>
          <w:highlight w:val="none"/>
        </w:rPr>
      </w:pPr>
    </w:p>
    <w:p>
      <w:pPr>
        <w:snapToGrid w:val="0"/>
        <w:spacing w:before="156" w:beforeLines="50" w:after="50" w:line="360" w:lineRule="exact"/>
        <w:jc w:val="right"/>
        <w:rPr>
          <w:rFonts w:ascii="Arial" w:hAnsi="Arial" w:cs="Arial"/>
          <w:bCs/>
          <w:color w:val="auto"/>
          <w:sz w:val="24"/>
          <w:highlight w:val="none"/>
        </w:rPr>
      </w:pPr>
      <w:r>
        <w:rPr>
          <w:rFonts w:ascii="Arial" w:hAnsi="Arial" w:cs="Arial"/>
          <w:bCs/>
          <w:color w:val="auto"/>
          <w:sz w:val="24"/>
          <w:highlight w:val="none"/>
        </w:rPr>
        <w:t>正本/副本</w:t>
      </w:r>
    </w:p>
    <w:p>
      <w:pPr>
        <w:snapToGrid w:val="0"/>
        <w:spacing w:before="156" w:beforeLines="50" w:after="50" w:line="360" w:lineRule="exact"/>
        <w:jc w:val="center"/>
        <w:rPr>
          <w:rFonts w:ascii="Arial" w:hAnsi="Arial" w:cs="Arial"/>
          <w:bCs/>
          <w:color w:val="auto"/>
          <w:sz w:val="24"/>
          <w:highlight w:val="none"/>
        </w:rPr>
      </w:pPr>
    </w:p>
    <w:p>
      <w:pPr>
        <w:snapToGrid w:val="0"/>
        <w:spacing w:before="156" w:beforeLines="50" w:after="50" w:line="360" w:lineRule="exact"/>
        <w:jc w:val="center"/>
        <w:rPr>
          <w:rFonts w:ascii="Arial" w:hAnsi="Arial" w:cs="Arial"/>
          <w:b/>
          <w:bCs/>
          <w:color w:val="auto"/>
          <w:sz w:val="44"/>
          <w:szCs w:val="44"/>
          <w:highlight w:val="none"/>
        </w:rPr>
      </w:pPr>
      <w:r>
        <w:rPr>
          <w:rFonts w:ascii="Arial" w:hAnsi="Arial" w:cs="Arial"/>
          <w:b/>
          <w:bCs/>
          <w:color w:val="auto"/>
          <w:sz w:val="44"/>
          <w:szCs w:val="44"/>
          <w:highlight w:val="none"/>
        </w:rPr>
        <w:t>响应文件</w:t>
      </w:r>
    </w:p>
    <w:p>
      <w:pPr>
        <w:snapToGrid w:val="0"/>
        <w:spacing w:before="156" w:beforeLines="50" w:after="50" w:line="360" w:lineRule="exact"/>
        <w:rPr>
          <w:rFonts w:ascii="Arial" w:hAnsi="Arial" w:cs="Arial"/>
          <w:bCs/>
          <w:color w:val="auto"/>
          <w:sz w:val="24"/>
          <w:highlight w:val="none"/>
        </w:rPr>
      </w:pPr>
    </w:p>
    <w:p>
      <w:pPr>
        <w:snapToGrid w:val="0"/>
        <w:spacing w:before="156" w:beforeLines="50" w:after="50" w:line="360" w:lineRule="exact"/>
        <w:ind w:firstLine="720" w:firstLineChars="300"/>
        <w:rPr>
          <w:rFonts w:ascii="Arial" w:hAnsi="Arial" w:cs="Arial"/>
          <w:bCs/>
          <w:color w:val="auto"/>
          <w:sz w:val="24"/>
          <w:highlight w:val="none"/>
        </w:rPr>
      </w:pPr>
      <w:r>
        <w:rPr>
          <w:rFonts w:ascii="Arial" w:hAnsi="Arial" w:cs="Arial"/>
          <w:bCs/>
          <w:color w:val="auto"/>
          <w:sz w:val="24"/>
          <w:highlight w:val="none"/>
        </w:rPr>
        <w:t xml:space="preserve">项目名称： </w:t>
      </w:r>
    </w:p>
    <w:p>
      <w:pPr>
        <w:snapToGrid w:val="0"/>
        <w:spacing w:before="156" w:beforeLines="50" w:after="50" w:line="360" w:lineRule="exact"/>
        <w:ind w:firstLine="720" w:firstLineChars="300"/>
        <w:rPr>
          <w:rFonts w:ascii="Arial" w:hAnsi="Arial" w:cs="Arial"/>
          <w:bCs/>
          <w:color w:val="auto"/>
          <w:sz w:val="24"/>
          <w:highlight w:val="none"/>
        </w:rPr>
      </w:pPr>
      <w:r>
        <w:rPr>
          <w:rFonts w:ascii="Arial" w:hAnsi="Arial" w:cs="Arial"/>
          <w:bCs/>
          <w:color w:val="auto"/>
          <w:sz w:val="24"/>
          <w:highlight w:val="none"/>
        </w:rPr>
        <w:t>项目编号：</w:t>
      </w:r>
    </w:p>
    <w:p>
      <w:pPr>
        <w:snapToGrid w:val="0"/>
        <w:spacing w:before="156" w:beforeLines="50" w:after="50" w:line="360" w:lineRule="exact"/>
        <w:ind w:firstLine="720" w:firstLineChars="300"/>
        <w:rPr>
          <w:rFonts w:ascii="Arial" w:hAnsi="Arial" w:cs="Arial"/>
          <w:bCs/>
          <w:color w:val="auto"/>
          <w:sz w:val="24"/>
          <w:highlight w:val="none"/>
        </w:rPr>
      </w:pPr>
      <w:r>
        <w:rPr>
          <w:rFonts w:ascii="Arial" w:hAnsi="Arial" w:cs="Arial"/>
          <w:bCs/>
          <w:color w:val="auto"/>
          <w:sz w:val="24"/>
          <w:highlight w:val="none"/>
        </w:rPr>
        <w:t>分包： （若无划“/”）</w:t>
      </w:r>
    </w:p>
    <w:p>
      <w:pPr>
        <w:pStyle w:val="7"/>
        <w:snapToGrid w:val="0"/>
        <w:spacing w:before="50" w:after="50" w:line="440" w:lineRule="exact"/>
        <w:ind w:firstLine="720" w:firstLineChars="300"/>
        <w:rPr>
          <w:rFonts w:ascii="Arial" w:hAnsi="Arial" w:cs="Arial"/>
          <w:bCs/>
          <w:color w:val="auto"/>
          <w:sz w:val="24"/>
          <w:szCs w:val="24"/>
          <w:highlight w:val="none"/>
        </w:rPr>
      </w:pPr>
      <w:r>
        <w:rPr>
          <w:rFonts w:ascii="Arial" w:hAnsi="Arial" w:cs="Arial"/>
          <w:bCs/>
          <w:color w:val="auto"/>
          <w:sz w:val="24"/>
          <w:szCs w:val="24"/>
          <w:highlight w:val="none"/>
        </w:rPr>
        <w:t>响应文件名称：价格文件、商务技术文件、其他文件</w:t>
      </w:r>
    </w:p>
    <w:p>
      <w:pPr>
        <w:snapToGrid w:val="0"/>
        <w:spacing w:before="156" w:beforeLines="50" w:after="50" w:line="360" w:lineRule="exact"/>
        <w:ind w:firstLine="720" w:firstLineChars="300"/>
        <w:rPr>
          <w:rFonts w:ascii="Arial" w:hAnsi="Arial" w:cs="Arial"/>
          <w:bCs/>
          <w:color w:val="auto"/>
          <w:sz w:val="24"/>
          <w:highlight w:val="none"/>
        </w:rPr>
      </w:pPr>
      <w:r>
        <w:rPr>
          <w:rFonts w:ascii="Arial" w:hAnsi="Arial" w:cs="Arial"/>
          <w:bCs/>
          <w:color w:val="auto"/>
          <w:sz w:val="24"/>
          <w:highlight w:val="none"/>
        </w:rPr>
        <w:t>供应商名称：</w:t>
      </w:r>
    </w:p>
    <w:p>
      <w:pPr>
        <w:snapToGrid w:val="0"/>
        <w:spacing w:before="156" w:beforeLines="50" w:after="50" w:line="360" w:lineRule="exact"/>
        <w:ind w:firstLine="720" w:firstLineChars="300"/>
        <w:rPr>
          <w:rFonts w:ascii="Arial" w:hAnsi="Arial" w:cs="Arial"/>
          <w:bCs/>
          <w:color w:val="auto"/>
          <w:sz w:val="24"/>
          <w:highlight w:val="none"/>
        </w:rPr>
      </w:pPr>
      <w:r>
        <w:rPr>
          <w:rFonts w:ascii="Arial" w:hAnsi="Arial" w:cs="Arial"/>
          <w:bCs/>
          <w:color w:val="auto"/>
          <w:sz w:val="24"/>
          <w:highlight w:val="none"/>
        </w:rPr>
        <w:t>供应商地址：</w:t>
      </w:r>
    </w:p>
    <w:p>
      <w:pPr>
        <w:pStyle w:val="7"/>
        <w:snapToGrid w:val="0"/>
        <w:spacing w:before="50" w:after="50" w:line="360" w:lineRule="exact"/>
        <w:ind w:firstLine="960" w:firstLineChars="400"/>
        <w:rPr>
          <w:rFonts w:ascii="Arial" w:hAnsi="Arial" w:cs="Arial"/>
          <w:bCs/>
          <w:color w:val="auto"/>
          <w:sz w:val="24"/>
          <w:szCs w:val="24"/>
          <w:highlight w:val="none"/>
        </w:rPr>
      </w:pPr>
    </w:p>
    <w:p>
      <w:pPr>
        <w:jc w:val="center"/>
        <w:rPr>
          <w:rFonts w:ascii="Arial" w:hAnsi="Arial" w:cs="Arial"/>
          <w:color w:val="auto"/>
          <w:sz w:val="24"/>
          <w:highlight w:val="none"/>
        </w:rPr>
      </w:pPr>
      <w:r>
        <w:rPr>
          <w:rFonts w:ascii="Arial" w:hAnsi="Arial" w:cs="Arial"/>
          <w:color w:val="auto"/>
          <w:sz w:val="24"/>
          <w:highlight w:val="none"/>
        </w:rPr>
        <w:t xml:space="preserve">                        年  月  日</w:t>
      </w:r>
      <w:r>
        <w:rPr>
          <w:rFonts w:ascii="Arial" w:hAnsi="Arial" w:cs="Arial"/>
          <w:color w:val="auto"/>
          <w:sz w:val="24"/>
          <w:highlight w:val="none"/>
        </w:rPr>
        <w:br w:type="page"/>
      </w:r>
      <w:r>
        <w:rPr>
          <w:rFonts w:ascii="Arial" w:hAnsi="Arial" w:cs="Arial"/>
          <w:color w:val="auto"/>
          <w:sz w:val="24"/>
          <w:highlight w:val="none"/>
        </w:rPr>
        <w:t>目录</w:t>
      </w:r>
    </w:p>
    <w:p>
      <w:pPr>
        <w:spacing w:line="440" w:lineRule="exact"/>
        <w:ind w:firstLine="420"/>
        <w:jc w:val="center"/>
        <w:rPr>
          <w:rFonts w:ascii="Arial" w:hAnsi="Arial" w:cs="Arial"/>
          <w:color w:val="auto"/>
          <w:sz w:val="22"/>
          <w:highlight w:val="none"/>
        </w:rPr>
      </w:pPr>
      <w:r>
        <w:rPr>
          <w:rFonts w:ascii="Arial" w:hAnsi="Arial" w:cs="Arial"/>
          <w:color w:val="auto"/>
          <w:sz w:val="22"/>
          <w:highlight w:val="none"/>
        </w:rPr>
        <w:t>（</w:t>
      </w:r>
      <w:r>
        <w:rPr>
          <w:rFonts w:ascii="Arial" w:hAnsi="Arial" w:cs="Arial"/>
          <w:b/>
          <w:color w:val="auto"/>
          <w:sz w:val="24"/>
          <w:highlight w:val="none"/>
        </w:rPr>
        <w:t>由供应商根据响应文件情况自行编制，需有页码</w:t>
      </w:r>
      <w:r>
        <w:rPr>
          <w:rFonts w:ascii="Arial" w:hAnsi="Arial" w:cs="Arial"/>
          <w:color w:val="auto"/>
          <w:sz w:val="22"/>
          <w:highlight w:val="none"/>
        </w:rPr>
        <w:t>）</w:t>
      </w:r>
    </w:p>
    <w:p>
      <w:pPr>
        <w:autoSpaceDE w:val="0"/>
        <w:jc w:val="center"/>
        <w:rPr>
          <w:rFonts w:ascii="Arial" w:hAnsi="Arial" w:cs="Arial"/>
          <w:color w:val="auto"/>
          <w:sz w:val="28"/>
          <w:highlight w:val="none"/>
        </w:rPr>
      </w:pPr>
      <w:r>
        <w:rPr>
          <w:rFonts w:ascii="Arial" w:hAnsi="Arial" w:cs="Arial"/>
          <w:b/>
          <w:color w:val="auto"/>
          <w:sz w:val="24"/>
          <w:highlight w:val="none"/>
        </w:rPr>
        <w:br w:type="page"/>
      </w:r>
      <w:r>
        <w:rPr>
          <w:rFonts w:ascii="Arial" w:hAnsi="Arial" w:cs="Arial"/>
          <w:color w:val="auto"/>
          <w:sz w:val="28"/>
          <w:highlight w:val="none"/>
        </w:rPr>
        <w:t>第一部分 价格文件</w:t>
      </w:r>
    </w:p>
    <w:p>
      <w:pPr>
        <w:spacing w:line="440" w:lineRule="exact"/>
        <w:rPr>
          <w:rFonts w:ascii="Arial" w:hAnsi="Arial" w:cs="Arial"/>
          <w:color w:val="auto"/>
          <w:sz w:val="24"/>
          <w:highlight w:val="none"/>
        </w:rPr>
      </w:pPr>
    </w:p>
    <w:p>
      <w:pPr>
        <w:autoSpaceDE w:val="0"/>
        <w:jc w:val="center"/>
        <w:rPr>
          <w:rFonts w:hint="eastAsia" w:ascii="Arial" w:hAnsi="Arial" w:cs="Arial"/>
          <w:b/>
          <w:color w:val="auto"/>
          <w:sz w:val="24"/>
          <w:highlight w:val="none"/>
        </w:rPr>
      </w:pPr>
      <w:r>
        <w:rPr>
          <w:rFonts w:ascii="Arial" w:hAnsi="Arial" w:cs="Arial"/>
          <w:b/>
          <w:color w:val="auto"/>
          <w:sz w:val="24"/>
          <w:highlight w:val="none"/>
        </w:rPr>
        <w:t>1.1 磋商报价表</w:t>
      </w:r>
      <w:r>
        <w:rPr>
          <w:rFonts w:hint="eastAsia" w:ascii="Arial" w:hAnsi="Arial" w:cs="Arial"/>
          <w:b/>
          <w:color w:val="auto"/>
          <w:sz w:val="24"/>
          <w:highlight w:val="none"/>
        </w:rPr>
        <w:t>（必须提供）</w:t>
      </w:r>
    </w:p>
    <w:p>
      <w:pPr>
        <w:autoSpaceDE w:val="0"/>
        <w:jc w:val="left"/>
        <w:rPr>
          <w:rFonts w:ascii="Arial" w:hAnsi="Arial" w:cs="Arial"/>
          <w:color w:val="auto"/>
          <w:highlight w:val="none"/>
          <w:u w:val="single"/>
        </w:rPr>
      </w:pPr>
      <w:r>
        <w:rPr>
          <w:rFonts w:ascii="Arial" w:hAnsi="Arial" w:cs="Arial"/>
          <w:color w:val="auto"/>
          <w:highlight w:val="none"/>
        </w:rPr>
        <w:t>项目编号：</w:t>
      </w:r>
      <w:r>
        <w:rPr>
          <w:rFonts w:ascii="Arial" w:hAnsi="Arial" w:cs="Arial"/>
          <w:color w:val="auto"/>
          <w:highlight w:val="none"/>
          <w:u w:val="single"/>
        </w:rPr>
        <w:t xml:space="preserve">                           </w:t>
      </w:r>
    </w:p>
    <w:p>
      <w:pPr>
        <w:autoSpaceDE w:val="0"/>
        <w:jc w:val="left"/>
        <w:rPr>
          <w:rFonts w:ascii="Arial" w:hAnsi="Arial" w:cs="Arial"/>
          <w:color w:val="auto"/>
          <w:highlight w:val="none"/>
          <w:u w:val="single"/>
        </w:rPr>
      </w:pPr>
      <w:r>
        <w:rPr>
          <w:rFonts w:ascii="Arial" w:hAnsi="Arial" w:cs="Arial"/>
          <w:color w:val="auto"/>
          <w:highlight w:val="none"/>
        </w:rPr>
        <w:t>项目名称：</w:t>
      </w:r>
      <w:r>
        <w:rPr>
          <w:rFonts w:ascii="Arial" w:hAnsi="Arial" w:cs="Arial"/>
          <w:color w:val="auto"/>
          <w:highlight w:val="none"/>
          <w:u w:val="single"/>
        </w:rPr>
        <w:t xml:space="preserve">                           </w:t>
      </w:r>
    </w:p>
    <w:p>
      <w:pPr>
        <w:autoSpaceDE w:val="0"/>
        <w:jc w:val="left"/>
        <w:rPr>
          <w:rFonts w:ascii="Arial" w:hAnsi="Arial" w:cs="Arial"/>
          <w:color w:val="auto"/>
          <w:highlight w:val="none"/>
        </w:rPr>
      </w:pPr>
      <w:r>
        <w:rPr>
          <w:rFonts w:ascii="Arial" w:hAnsi="Arial" w:cs="Arial"/>
          <w:color w:val="auto"/>
          <w:highlight w:val="none"/>
        </w:rPr>
        <w:t>.</w:t>
      </w:r>
    </w:p>
    <w:tbl>
      <w:tblPr>
        <w:tblStyle w:val="58"/>
        <w:tblW w:w="0" w:type="auto"/>
        <w:tblInd w:w="108" w:type="dxa"/>
        <w:tblLayout w:type="fixed"/>
        <w:tblCellMar>
          <w:top w:w="0" w:type="dxa"/>
          <w:left w:w="0" w:type="dxa"/>
          <w:bottom w:w="0" w:type="dxa"/>
          <w:right w:w="0" w:type="dxa"/>
        </w:tblCellMar>
      </w:tblPr>
      <w:tblGrid>
        <w:gridCol w:w="831"/>
        <w:gridCol w:w="2709"/>
        <w:gridCol w:w="5438"/>
      </w:tblGrid>
      <w:tr>
        <w:tblPrEx>
          <w:tblCellMar>
            <w:top w:w="0" w:type="dxa"/>
            <w:left w:w="0" w:type="dxa"/>
            <w:bottom w:w="0" w:type="dxa"/>
            <w:right w:w="0" w:type="dxa"/>
          </w:tblCellMar>
        </w:tblPrEx>
        <w:trPr>
          <w:trHeight w:val="1511" w:hRule="atLeast"/>
        </w:trPr>
        <w:tc>
          <w:tcPr>
            <w:tcW w:w="831"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序号</w:t>
            </w:r>
          </w:p>
        </w:tc>
        <w:tc>
          <w:tcPr>
            <w:tcW w:w="2709"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项目内容</w:t>
            </w:r>
          </w:p>
        </w:tc>
        <w:tc>
          <w:tcPr>
            <w:tcW w:w="543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r>
        <w:tblPrEx>
          <w:tblCellMar>
            <w:top w:w="0" w:type="dxa"/>
            <w:left w:w="0" w:type="dxa"/>
            <w:bottom w:w="0" w:type="dxa"/>
            <w:right w:w="0" w:type="dxa"/>
          </w:tblCellMar>
        </w:tblPrEx>
        <w:trPr>
          <w:trHeight w:val="994" w:hRule="atLeast"/>
        </w:trPr>
        <w:tc>
          <w:tcPr>
            <w:tcW w:w="831"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1</w:t>
            </w:r>
          </w:p>
        </w:tc>
        <w:tc>
          <w:tcPr>
            <w:tcW w:w="2709"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hint="eastAsia" w:ascii="Arial" w:hAnsi="Arial" w:eastAsia="宋体" w:cs="Arial"/>
                <w:color w:val="auto"/>
                <w:highlight w:val="none"/>
              </w:rPr>
              <w:t>服务质量</w:t>
            </w:r>
          </w:p>
        </w:tc>
        <w:tc>
          <w:tcPr>
            <w:tcW w:w="543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r>
        <w:tblPrEx>
          <w:tblCellMar>
            <w:top w:w="0" w:type="dxa"/>
            <w:left w:w="0" w:type="dxa"/>
            <w:bottom w:w="0" w:type="dxa"/>
            <w:right w:w="0" w:type="dxa"/>
          </w:tblCellMar>
        </w:tblPrEx>
        <w:trPr>
          <w:trHeight w:val="994" w:hRule="atLeast"/>
        </w:trPr>
        <w:tc>
          <w:tcPr>
            <w:tcW w:w="831"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2</w:t>
            </w:r>
          </w:p>
        </w:tc>
        <w:tc>
          <w:tcPr>
            <w:tcW w:w="2709"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hint="eastAsia" w:ascii="Arial" w:hAnsi="Arial" w:eastAsia="宋体" w:cs="Arial"/>
                <w:color w:val="auto"/>
                <w:highlight w:val="none"/>
              </w:rPr>
              <w:t>合同履行期限</w:t>
            </w:r>
          </w:p>
        </w:tc>
        <w:tc>
          <w:tcPr>
            <w:tcW w:w="543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r>
        <w:tblPrEx>
          <w:tblCellMar>
            <w:top w:w="0" w:type="dxa"/>
            <w:left w:w="0" w:type="dxa"/>
            <w:bottom w:w="0" w:type="dxa"/>
            <w:right w:w="0" w:type="dxa"/>
          </w:tblCellMar>
        </w:tblPrEx>
        <w:trPr>
          <w:trHeight w:val="980" w:hRule="atLeast"/>
        </w:trPr>
        <w:tc>
          <w:tcPr>
            <w:tcW w:w="831"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hint="eastAsia" w:ascii="Arial" w:hAnsi="Arial" w:eastAsia="宋体" w:cs="Arial"/>
                <w:color w:val="auto"/>
                <w:highlight w:val="none"/>
              </w:rPr>
            </w:pPr>
            <w:r>
              <w:rPr>
                <w:rFonts w:hint="eastAsia" w:ascii="Arial" w:hAnsi="Arial" w:eastAsia="宋体" w:cs="Arial"/>
                <w:color w:val="auto"/>
                <w:highlight w:val="none"/>
              </w:rPr>
              <w:t>3</w:t>
            </w:r>
          </w:p>
        </w:tc>
        <w:tc>
          <w:tcPr>
            <w:tcW w:w="2709"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hint="eastAsia" w:ascii="Arial" w:hAnsi="Arial" w:eastAsia="宋体" w:cs="Arial"/>
                <w:color w:val="auto"/>
                <w:highlight w:val="none"/>
              </w:rPr>
              <w:t>响应报价</w:t>
            </w:r>
          </w:p>
        </w:tc>
        <w:tc>
          <w:tcPr>
            <w:tcW w:w="543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pacing w:before="0" w:beforeAutospacing="0" w:after="0" w:afterAutospacing="0"/>
              <w:ind w:left="0" w:right="0"/>
              <w:rPr>
                <w:rFonts w:ascii="Arial" w:hAnsi="Arial" w:eastAsia="宋体" w:cs="Arial"/>
                <w:color w:val="auto"/>
                <w:highlight w:val="none"/>
              </w:rPr>
            </w:pPr>
            <w:r>
              <w:rPr>
                <w:rFonts w:hint="eastAsia" w:ascii="Arial" w:hAnsi="Arial" w:eastAsia="宋体" w:cs="Arial"/>
                <w:color w:val="auto"/>
                <w:highlight w:val="none"/>
              </w:rPr>
              <w:t xml:space="preserve">              </w:t>
            </w:r>
            <w:r>
              <w:rPr>
                <w:rFonts w:hint="eastAsia" w:ascii="Arial" w:hAnsi="Arial" w:eastAsia="宋体" w:cs="Arial"/>
                <w:color w:val="auto"/>
                <w:highlight w:val="none"/>
                <w:u w:val="single"/>
              </w:rPr>
              <w:t xml:space="preserve">       </w:t>
            </w:r>
            <w:r>
              <w:rPr>
                <w:rFonts w:ascii="Calibri" w:hAnsi="Calibri" w:eastAsia="宋体" w:cs="Times New Roman"/>
                <w:color w:val="auto"/>
                <w:highlight w:val="none"/>
                <w:u w:val="single"/>
              </w:rPr>
              <w:t xml:space="preserve"> </w:t>
            </w:r>
            <w:r>
              <w:rPr>
                <w:rFonts w:ascii="Calibri" w:hAnsi="Calibri" w:eastAsia="宋体" w:cs="Times New Roman"/>
                <w:color w:val="auto"/>
                <w:highlight w:val="none"/>
              </w:rPr>
              <w:t>元/剂</w:t>
            </w:r>
          </w:p>
        </w:tc>
      </w:tr>
      <w:tr>
        <w:tblPrEx>
          <w:tblCellMar>
            <w:top w:w="0" w:type="dxa"/>
            <w:left w:w="0" w:type="dxa"/>
            <w:bottom w:w="0" w:type="dxa"/>
            <w:right w:w="0" w:type="dxa"/>
          </w:tblCellMar>
        </w:tblPrEx>
        <w:trPr>
          <w:trHeight w:val="1675" w:hRule="atLeast"/>
        </w:trPr>
        <w:tc>
          <w:tcPr>
            <w:tcW w:w="831"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hint="eastAsia" w:ascii="Arial" w:hAnsi="Arial" w:eastAsia="宋体" w:cs="Arial"/>
                <w:color w:val="auto"/>
                <w:highlight w:val="none"/>
              </w:rPr>
            </w:pPr>
            <w:r>
              <w:rPr>
                <w:rFonts w:hint="eastAsia" w:ascii="Arial" w:hAnsi="Arial" w:eastAsia="宋体" w:cs="Arial"/>
                <w:color w:val="auto"/>
                <w:highlight w:val="none"/>
              </w:rPr>
              <w:t>4</w:t>
            </w:r>
          </w:p>
        </w:tc>
        <w:tc>
          <w:tcPr>
            <w:tcW w:w="2709"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hint="eastAsia" w:ascii="Arial" w:hAnsi="Arial" w:eastAsia="宋体" w:cs="Arial"/>
                <w:color w:val="auto"/>
                <w:highlight w:val="none"/>
              </w:rPr>
              <w:t>备注</w:t>
            </w:r>
          </w:p>
        </w:tc>
        <w:tc>
          <w:tcPr>
            <w:tcW w:w="543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pacing w:before="0" w:beforeAutospacing="0" w:after="0" w:afterAutospacing="0"/>
              <w:ind w:left="0" w:right="0"/>
              <w:rPr>
                <w:rFonts w:ascii="Arial" w:hAnsi="Arial" w:eastAsia="宋体" w:cs="Arial"/>
                <w:color w:val="auto"/>
                <w:highlight w:val="none"/>
              </w:rPr>
            </w:pPr>
          </w:p>
        </w:tc>
      </w:tr>
    </w:tbl>
    <w:p>
      <w:pPr>
        <w:autoSpaceDE w:val="0"/>
        <w:jc w:val="left"/>
        <w:rPr>
          <w:rFonts w:ascii="Arial" w:hAnsi="Arial" w:cs="Arial"/>
          <w:color w:val="auto"/>
          <w:highlight w:val="none"/>
        </w:rPr>
      </w:pPr>
      <w:r>
        <w:rPr>
          <w:rFonts w:ascii="Arial" w:hAnsi="Arial" w:cs="Arial"/>
          <w:color w:val="auto"/>
          <w:highlight w:val="none"/>
        </w:rPr>
        <w:t>注：所有价格均用人民币表示，单位为元，精确到分。</w:t>
      </w:r>
    </w:p>
    <w:p>
      <w:pPr>
        <w:autoSpaceDE w:val="0"/>
        <w:ind w:firstLine="420"/>
        <w:jc w:val="left"/>
        <w:rPr>
          <w:rFonts w:ascii="Arial" w:hAnsi="Arial" w:cs="Arial"/>
          <w:color w:val="auto"/>
          <w:highlight w:val="none"/>
          <w:u w:val="single"/>
        </w:rPr>
      </w:pPr>
    </w:p>
    <w:p>
      <w:pPr>
        <w:autoSpaceDE w:val="0"/>
        <w:ind w:firstLine="420"/>
        <w:jc w:val="left"/>
        <w:rPr>
          <w:rFonts w:ascii="Arial" w:hAnsi="Arial" w:cs="Arial"/>
          <w:b/>
          <w:color w:val="auto"/>
          <w:highlight w:val="none"/>
        </w:rPr>
      </w:pPr>
      <w:r>
        <w:rPr>
          <w:rFonts w:ascii="Arial" w:hAnsi="Arial" w:cs="Arial"/>
          <w:color w:val="auto"/>
          <w:highlight w:val="none"/>
        </w:rPr>
        <w:t>供应商名称(盖章) ：</w:t>
      </w:r>
      <w:r>
        <w:rPr>
          <w:rFonts w:ascii="Arial" w:hAnsi="Arial" w:cs="Arial"/>
          <w:color w:val="auto"/>
          <w:highlight w:val="none"/>
          <w:u w:val="single"/>
        </w:rPr>
        <w:t xml:space="preserve">                                          </w:t>
      </w:r>
      <w:r>
        <w:rPr>
          <w:rFonts w:ascii="Arial" w:hAnsi="Arial" w:cs="Arial"/>
          <w:b/>
          <w:color w:val="auto"/>
          <w:highlight w:val="none"/>
        </w:rPr>
        <w:t xml:space="preserve">  </w:t>
      </w:r>
    </w:p>
    <w:p>
      <w:pPr>
        <w:autoSpaceDE w:val="0"/>
        <w:ind w:firstLine="330"/>
        <w:jc w:val="left"/>
        <w:rPr>
          <w:rFonts w:ascii="Arial" w:hAnsi="Arial" w:cs="Arial"/>
          <w:color w:val="auto"/>
          <w:sz w:val="22"/>
          <w:highlight w:val="none"/>
        </w:rPr>
      </w:pPr>
    </w:p>
    <w:p>
      <w:pPr>
        <w:autoSpaceDE w:val="0"/>
        <w:ind w:firstLine="420"/>
        <w:jc w:val="left"/>
        <w:rPr>
          <w:rFonts w:ascii="Arial" w:hAnsi="Arial" w:cs="Arial"/>
          <w:color w:val="auto"/>
          <w:highlight w:val="none"/>
          <w:u w:val="single"/>
        </w:rPr>
      </w:pPr>
      <w:r>
        <w:rPr>
          <w:rFonts w:ascii="Arial" w:hAnsi="Arial" w:cs="Arial"/>
          <w:color w:val="auto"/>
          <w:highlight w:val="none"/>
        </w:rPr>
        <w:t>法定代表人或法定代表人授权代表(签字) ：</w:t>
      </w:r>
      <w:r>
        <w:rPr>
          <w:rFonts w:ascii="Arial" w:hAnsi="Arial" w:cs="Arial"/>
          <w:color w:val="auto"/>
          <w:highlight w:val="none"/>
          <w:u w:val="single"/>
        </w:rPr>
        <w:t xml:space="preserve">                           </w:t>
      </w:r>
    </w:p>
    <w:p>
      <w:pPr>
        <w:autoSpaceDE w:val="0"/>
        <w:ind w:firstLine="330"/>
        <w:jc w:val="left"/>
        <w:rPr>
          <w:rFonts w:ascii="Arial" w:hAnsi="Arial" w:cs="Arial"/>
          <w:color w:val="auto"/>
          <w:sz w:val="22"/>
          <w:highlight w:val="none"/>
        </w:rPr>
      </w:pPr>
    </w:p>
    <w:p>
      <w:pPr>
        <w:autoSpaceDE w:val="0"/>
        <w:ind w:firstLine="330"/>
        <w:jc w:val="right"/>
        <w:rPr>
          <w:rFonts w:ascii="Arial" w:hAnsi="Arial" w:cs="Arial"/>
          <w:color w:val="auto"/>
          <w:sz w:val="22"/>
          <w:highlight w:val="none"/>
        </w:rPr>
      </w:pPr>
    </w:p>
    <w:p>
      <w:pPr>
        <w:autoSpaceDE w:val="0"/>
        <w:ind w:firstLine="330"/>
        <w:jc w:val="right"/>
        <w:rPr>
          <w:rFonts w:ascii="Arial" w:hAnsi="Arial" w:cs="Arial"/>
          <w:color w:val="auto"/>
          <w:sz w:val="22"/>
          <w:highlight w:val="none"/>
        </w:rPr>
      </w:pPr>
      <w:r>
        <w:rPr>
          <w:rFonts w:ascii="Arial" w:hAnsi="Arial" w:cs="Arial"/>
          <w:color w:val="auto"/>
          <w:sz w:val="22"/>
          <w:highlight w:val="none"/>
        </w:rPr>
        <w:t>报价时间：</w:t>
      </w:r>
      <w:r>
        <w:rPr>
          <w:rFonts w:ascii="Arial" w:hAnsi="Arial" w:cs="Arial"/>
          <w:color w:val="auto"/>
          <w:sz w:val="22"/>
          <w:highlight w:val="none"/>
          <w:u w:val="single"/>
        </w:rPr>
        <w:t xml:space="preserve">       </w:t>
      </w:r>
      <w:r>
        <w:rPr>
          <w:rFonts w:ascii="Arial" w:hAnsi="Arial" w:cs="Arial"/>
          <w:color w:val="auto"/>
          <w:sz w:val="22"/>
          <w:highlight w:val="none"/>
        </w:rPr>
        <w:t>年</w:t>
      </w:r>
      <w:r>
        <w:rPr>
          <w:rFonts w:ascii="Arial" w:hAnsi="Arial" w:cs="Arial"/>
          <w:color w:val="auto"/>
          <w:sz w:val="22"/>
          <w:highlight w:val="none"/>
          <w:u w:val="single"/>
        </w:rPr>
        <w:t xml:space="preserve">    </w:t>
      </w:r>
      <w:r>
        <w:rPr>
          <w:rFonts w:ascii="Arial" w:hAnsi="Arial" w:cs="Arial"/>
          <w:color w:val="auto"/>
          <w:sz w:val="22"/>
          <w:highlight w:val="none"/>
        </w:rPr>
        <w:t>月</w:t>
      </w:r>
      <w:r>
        <w:rPr>
          <w:rFonts w:ascii="Arial" w:hAnsi="Arial" w:cs="Arial"/>
          <w:color w:val="auto"/>
          <w:sz w:val="22"/>
          <w:highlight w:val="none"/>
          <w:u w:val="single"/>
        </w:rPr>
        <w:t xml:space="preserve">     </w:t>
      </w:r>
      <w:r>
        <w:rPr>
          <w:rFonts w:ascii="Arial" w:hAnsi="Arial" w:cs="Arial"/>
          <w:color w:val="auto"/>
          <w:sz w:val="22"/>
          <w:highlight w:val="none"/>
        </w:rPr>
        <w:t>日</w:t>
      </w:r>
    </w:p>
    <w:p>
      <w:pPr>
        <w:autoSpaceDE w:val="0"/>
        <w:ind w:firstLine="330"/>
        <w:jc w:val="both"/>
        <w:rPr>
          <w:rFonts w:ascii="Arial" w:hAnsi="Arial" w:cs="Arial"/>
          <w:color w:val="auto"/>
          <w:sz w:val="22"/>
          <w:highlight w:val="none"/>
        </w:rPr>
      </w:pPr>
      <w:r>
        <w:rPr>
          <w:rFonts w:ascii="Arial" w:hAnsi="Arial" w:cs="Arial"/>
          <w:color w:val="auto"/>
          <w:sz w:val="22"/>
          <w:highlight w:val="none"/>
        </w:rPr>
        <w:br w:type="page"/>
      </w:r>
    </w:p>
    <w:tbl>
      <w:tblPr>
        <w:tblStyle w:val="58"/>
        <w:tblW w:w="0" w:type="auto"/>
        <w:jc w:val="center"/>
        <w:tblLayout w:type="autofit"/>
        <w:tblCellMar>
          <w:top w:w="0" w:type="dxa"/>
          <w:left w:w="108" w:type="dxa"/>
          <w:bottom w:w="0" w:type="dxa"/>
          <w:right w:w="108" w:type="dxa"/>
        </w:tblCellMar>
      </w:tblPr>
      <w:tblGrid>
        <w:gridCol w:w="606"/>
        <w:gridCol w:w="1450"/>
        <w:gridCol w:w="5716"/>
        <w:gridCol w:w="1444"/>
      </w:tblGrid>
      <w:tr>
        <w:tblPrEx>
          <w:tblCellMar>
            <w:top w:w="0" w:type="dxa"/>
            <w:left w:w="108" w:type="dxa"/>
            <w:bottom w:w="0" w:type="dxa"/>
            <w:right w:w="108" w:type="dxa"/>
          </w:tblCellMar>
        </w:tblPrEx>
        <w:trPr>
          <w:trHeight w:val="90" w:hRule="atLeast"/>
          <w:jc w:val="center"/>
        </w:trPr>
        <w:tc>
          <w:tcPr>
            <w:tcW w:w="9854" w:type="dxa"/>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b/>
                <w:bCs/>
                <w:color w:val="auto"/>
                <w:szCs w:val="21"/>
                <w:highlight w:val="none"/>
              </w:rPr>
            </w:pPr>
            <w:r>
              <w:rPr>
                <w:rFonts w:hint="eastAsia" w:ascii="Arial" w:hAnsi="Arial" w:eastAsia="宋体" w:cs="Arial"/>
                <w:b/>
                <w:bCs/>
                <w:color w:val="auto"/>
                <w:szCs w:val="21"/>
                <w:highlight w:val="none"/>
              </w:rPr>
              <w:t>中药饮片供货明细表</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序号</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药品名称</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主要货物要求</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hint="eastAsia" w:ascii="Arial" w:hAnsi="Arial" w:eastAsia="宋体" w:cs="Arial"/>
                <w:color w:val="auto"/>
                <w:kern w:val="0"/>
                <w:szCs w:val="21"/>
                <w:highlight w:val="none"/>
                <w:lang w:bidi="ar"/>
              </w:rPr>
              <w:t>响应报价</w:t>
            </w:r>
            <w:r>
              <w:rPr>
                <w:rFonts w:ascii="Arial" w:hAnsi="Arial" w:eastAsia="宋体" w:cs="Arial"/>
                <w:color w:val="auto"/>
                <w:kern w:val="0"/>
                <w:szCs w:val="21"/>
                <w:highlight w:val="none"/>
                <w:lang w:bidi="ar"/>
              </w:rPr>
              <w:t>（元/kg）</w:t>
            </w: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阿胶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东阿阿胶，按批准文号管理，需国药准字包装，提供资质批件。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阿胶珠</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艾叶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选货；手工去枝梗，过4毫米筛去灰屑。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白矾</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块状，符合药典。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白花蛇舌草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统货；墨绿色，除去杂质和碎渣，短段5-10mm。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白及</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统货；不规则薄片1-2mm，直径1.0cm以上，过10毫米筛去碎片及碎渣。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白芥子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统货；直径1～2.5mm。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白茅根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统货，短段5mm～10mm，直径0.2-0.4cm，除去碎屑。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统货；长段10-15mm，直径1.0-4mm，过3毫米筛去碎渣，以根茎为主，须根不得超过20%。</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白头翁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统货；直径0.5～2cm，筛去碎屑。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统货；长1.5-3-5cm，直径0.5-1-2cm。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白鲜皮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选货；厚片2-4mm，直径1-2cm，厚0.2-0.5cm，过6毫米筛去小片及碎渣。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百部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统货；厚片2-4mm，直径0.7-1cm，过6毫米筛去碎渣，片型较均匀。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柏子仁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统货；长4～7mm，直径1.5～3mm。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败酱草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符合国家标准或广西地方标准。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板蓝根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统货；厚片2-4mm，直径0.6-1cm，筛去碎渣，片厚度均匀。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半枝莲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统货；长段10-15mm，除去杂质，筛去碎渣。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薄荷</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选货，直径0.2-0.4cm，过4毫米筛去碎渣，叶占比40%以上，叶深绿色，颜色一致，段均匀。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北柴胡</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选货；厚片2-4mm，直径0.4-0.8cm，过4毫米筛去碎渣。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北沙参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选货；短段5-10mm，直径0.6-1.2cm，过6毫米筛去碎渣。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萹蓄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醋鳖甲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统货；除去杂质，无鳖肉残留。</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槟榔</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统货；切薄片，直径1.5～3cm。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冰片（合成龙脑）</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补骨脂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统货；长3～5mm， 宽2～4mm，厚约1.5mm，除去杂质。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苍耳子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统货；长1～1.5cm，直径0.4～0.7cm。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苍术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统货；厚片2～4mm，直径1.2-4cm，过8毫米筛去碎渣，片型、色泽均匀。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侧柏炭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侧柏叶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统货；除去枝梗和杂质。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蝉蜕</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选货；水洗，长约3.5cm，宽约2cm，无杂质。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炒白扁豆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统货；具焦斑，长8～13mm，宽6～9mm，厚约7mm ，瘪子率5%以下，无杂质。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炒鸡内金</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统货；厚约2mm，除去杂质。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炒蒺藜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炒紫苏子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统货；直径约1.5mm。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车前草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车前子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沉香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赤芍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选货；厚片2-4mm，直径0.6～3cm，过8毫米筛去碎渣，片型厚度均匀。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赤小豆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统货；长5～8mm，直径3～5mm，大小均匀。过3毫米筛去碎渣。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川贝母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川楝子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统货；直径2～3.2cm，厚片2～4mm。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穿破石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磁石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统货；除去杂质，砸碎。</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醋甘遂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醋三棱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统货；薄片1-2mm，直径2.5～4cm，最窄平均直径2.5cm，过16毫米筛去碎渣及小片，片型较均匀。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醋延胡索</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统货；厚片2～4mm，直径0.5-1.5cm，过6毫米筛去碎渣，杂质不得过2%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大腹皮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 ，厚0.2-0.5cm，过10毫米筛去碎渣，杂质不得过2%。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统货；厚片2～4mm，直径4-10cm，无糠黄，片型较均匀，过20毫米筛去碎渣，杂质不得过2%。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49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大蓟</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大青叶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统货；碎段，过4毫米筛去碎渣，杂质不得过2%。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大血藤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大枣</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统货；长2-3.5cm, 直径1.5-2.5cm。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代赭石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胆南星</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统货；小方块，过8毫米筛去碎渣。按批准文号管理，需国药准字包装，提供资质批件。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淡竹叶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灯心草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地耳草（田基黄）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地肤子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统货；直径1-3mm，过1毫米筛去碎渣，杂质不得过2%。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59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地骨皮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统货；筒状或槽状，过6毫米筛去碎渣，不得有木心，杂质不得过2%。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全开，长段10-15mm  宽0.8-2cm，过6毫米筛去碎渣，不得有泥土。</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统货；厚片2～4mm，直径0.7-2cm，过14毫米筛去碎渣。片型均匀，杂质不得过2%。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地榆炭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丁香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长1.2〜2cm，直径0.3-0.5cm，过4毫米筛去碎渣及不饱满者，杂质不得过2％。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冬瓜子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冬葵子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豆蔻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直径1.3-1.8cm，过12毫米筛去碎渣，果实饱满，大小均匀。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独活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统货；薄片1～2mm，直径1.6-3cm，过18毫米筛去小片及碎渣，无须根和杂质。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煅寒水石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69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煅龙骨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煅牡蛎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统货；碎块或粗粉。</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煅阳起石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莪术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统货；厚片2-4mm，直径2～4cm，过6毫米筛去碎渣，片型较均匀。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鹅不食草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法半夏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统货；类球型，直径0.7～1.6cm，断面黄色。</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番泻叶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防风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选货；厚片2～4mm，直径0.6-2cm，过6毫米筛去碎渣，片型均匀。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防己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统货；厚片2～4mm，直径1.2-5cm，过12毫米筛去碎渣，片型均匀。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粉萆薢</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统货；斜切片，厚2～5mm，过6毫米筛去碎渣。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79</w:t>
            </w:r>
          </w:p>
        </w:tc>
        <w:tc>
          <w:tcPr>
            <w:tcW w:w="15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粉葛</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统货；边长为0.5～1.2cm的方块。</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佛手</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统货；薄片，长6-10cm，宽3-7cm，厚0.2-0.4cm，过12毫米筛去碎渣，片型均匀。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麸炒白术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统货；厚片2～4mm，直径1.8-7cm，过18毫米筛去碎渣，片型、色泽均匀。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茯苓皮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茯神</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浮海石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浮小麦</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附片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黑顺片，外皮黑褐色，切面暗黄色，油润具光泽半透明状。质硬而脆，断面角质样。气微，味淡。</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覆盆子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统货；高0.6-1.3cm，直径0.5-1.2cm，过6毫米筛去碎渣。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甘草片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统货；厚片2～4mm，直径0.6-3.5cm，过6毫米筛去碎渣，片型均匀。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89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干姜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统货；厚片，长1-6cm，宽1-2cm，厚0.2-0.4cm，过10毫米筛去碎渣，片型均匀。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干石斛</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  直径0.4-1.2cm，过4毫米筛去碎渣。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干益母草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干鱼腥草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长段10-15mm，过4毫米筛去碎渣，杂质不得过2%。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高良姜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藁本片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 1.0cm 以上片占比不低于 90%，0.2cm 以下碎末灰渣不超过 0.5%。</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葛根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野葛，统货；符合药典标准。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功劳木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钩藤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  直径0.2-0.5cm，过2毫米筛去碎渣。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狗脊</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统货；长块状，长10～30cm，直径2～10cm。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99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枸杞子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统货；长8-20mm，直径4-10mm，每50克280粒以内。</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骨碎补</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瓜蒌皮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统货；宽丝5～10mm，过4号筛。</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瓜蒌子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统货；双边，长12～15mm，宽6～10mm，厚度约3.5mm。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龟板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统货；除去杂质，无龟肉残留。</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海蛤壳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海金沙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海螵蛸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统货；小块，长9-23cm，宽2.5-6.5cm，厚约1.3cm，过10毫米筛去碎渣。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海桐皮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海藻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109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诃子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红参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红参片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厚朴</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统货；宽丝5-10mm，厚0.2～0.7cm，过8毫米筛去碎渣。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胡黄连</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虎杖</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统货；长1～7cm，直径0.5～2.5cm，过14毫米筛去碎渣。片厚度均匀2〜4mm（±0.2）。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琥珀</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花椒</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滑石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统货；碎块。</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滑石粉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统货；粉末。按批准文号管理，需国药准字包装，提供资质批件。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119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槐米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统货；除去枝梗和杂质。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黄柏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统货；宽丝5-10mm，厚1～6mm，过6毫米筛去碎渣。除净粗皮。</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黄精</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统货；厚片2-4mm，过10毫米筛去碎渣。有酒香气。</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黄连片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统货；薄片1-2mm，直径0.4～1cm，过6毫米筛去碎渣。片厚度均匀2〜4mm（±0.2）。</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黄芩片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统货；薄片1-2mm，直径1～3cm，过8毫米筛去小片及碎渣。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火麻仁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统货；长4～5.5mm，直径2.5～4mm。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藿香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 茎直径0.3-1.2cm 叶不得少于20%，过3毫米筛去碎渣。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鸡骨草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鸡血藤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建曲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统货；块状，符合国家标准或者广西地方标准。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129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姜半夏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统货；薄片1-2mm，过6mm筛去碎渣。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姜黄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统货；厚片2-4mm，直径1～3cm，筛去碎片及碎渣。片厚度均匀。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姜皮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僵蚕</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统货；长2～5cm，直径0.5～0.7cm。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焦山楂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焦栀子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绞股蓝</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金钱草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长段10-15mm ，含叶的重量不少于50%。</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金樱子肉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统货；长2～3.5cm，直径1～2cm，纵切2瓣，除去毛、核。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酒苁蓉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统货；切厚片，直径2～8cm。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139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菊花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选货；杭白菊，直径2.5～4cm，筛去细粉，脱落的花瓣，完整朵。</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橘红</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决明子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统货；粒径3.5～4.0mm。过3毫米筛去碎渣。颗粒饱满。</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枯矾</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苦参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统货；直径1.5～4.5cm，过1.5cm细筛去除粉尘以及1.5cm以下的小片，片形均匀。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苦杏仁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统货；长1～1.9cm，宽0.8～1.5cm，厚0.5～0.8cm。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款冬花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统货；长1～2.5cm，直径0.5～1cm。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昆布</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莱菔子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统货；长2.5～4mm，宽2-3mm，无杂质，粒度较均匀。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荔枝核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统货；长1.5-2.2cm,直径1-1.5cm。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149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连钱草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长段1-3cm ，宽1.5-3cm。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莲子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统货；略呈椭圆形或类球形， 长段1-1.8cm ，直径0.8-1.4cm。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两面针</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统货；长2-20cm,厚0.5-6cm。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灵芝</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北刘寄奴</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龙胆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统货；长段10～15mm，直径3～4mm，过6毫米筛去碎渣。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龙眼肉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统货；长约1.5cm，宽2-4cm,厚约0.1cm。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芦根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统货；长段10～15mm，直径1.3～1.7mm，直径1.5cm以上。过12毫米筛去碎渣。段型大小较均匀。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鹿角片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鹿茸片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159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路路通</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统货；直径2～3mm，长段2～4mm，过10毫米筛去碎渣。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麻黄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统货；长段10～15mm，直径1.5mm以上。过1毫米筛去碎渣。</w:t>
            </w:r>
            <w:r>
              <w:rPr>
                <w:rStyle w:val="177"/>
                <w:rFonts w:hint="default" w:ascii="Arial" w:hAnsi="Arial" w:cs="Arial"/>
                <w:color w:val="auto"/>
                <w:sz w:val="21"/>
                <w:szCs w:val="21"/>
                <w:highlight w:val="none"/>
                <w:lang w:bidi="ar"/>
              </w:rPr>
              <w:t>需提供麻黄经营资质。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麻黄根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统货；切厚片，直径0.5～1.5cm。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马勃</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统货；直径5-15cm。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蔓荆子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猫爪草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统货；长3～10mm，直径2～3mm。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没药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统货；天然没药，无杂质。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蜜款冬花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蜜麻黄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蜜枇杷叶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统货；切丝。</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169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蜜紫菀</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绵马贯众</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墨旱莲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木蝴蝶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统货；蝶形薄片，长5-8cm，宽3.5-4.5cm。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木通</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木香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统货；厚片2～4mm，直径1～4.5cm，过2毫米筛去碎渣。表面结脂部分不少于30%。</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木贼</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统货；长管状，长40-60cm,直径0.2-0.7cm。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南沙参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牛蒡子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统货；长5～7mm,宽2～3mm，无杂质，粒度较均匀。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女贞子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统货；肾型果，长6～8.5mm，直径0.4cm以上。</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179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藕节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统货；长2-4cm,直径约2cm。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胖大海</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炮姜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统货；过10毫米筛去碎渣。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佩兰</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统货；长段10～15mm，直径0.3～0.4cm，过3毫米筛去碎渣。除去杂质，段型均匀。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枇杷叶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统货；切丝。</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蒲黄炭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千斤拔</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千年健</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前胡</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统货；薄片1～2mm，直径1.2～1.8cm，过6毫米筛去碎渣，片厚度均匀。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芡实</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统货；直径5～8mm。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189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茜草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统货；长段10～15mm，直径0.4～0.8cm，直径0.5cm以上。筛去碎渣。粗细较均匀。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羌活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统货；厚片2～4mm，直径0.9～2.3cm，过10毫米筛去碎渣。片厚度均匀。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秦艽</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统货；厚片2～4mm，直径1.3～2.7cm，过6毫米筛去碎渣。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秦皮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统货；宽丝5～10mm，过6毫米筛去碎渣。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青黛</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按批准文号管理，需国药准字包装，并提供资质批件。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青风藤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青果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统货；切段，长0.5～1.5cm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统货；青皮，直径0.5～2cm，果皮厚0.1～0.2cm。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青葙子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统货；直径1-1.5mm。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199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瞿麦</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全蝎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统货；完整者体长约6cm，形体完整。</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忍冬藤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统货；直径1.5-6mm。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肉豆蔻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统货；长2.3～2.7cm，直径1.8～2.2cm，过12毫米筛去不饱满者及碎渣。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肉桂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统货；槽状或卷筒状，厚0.2～0.8cm。过10毫米筛去碎渣。片形大小较均匀。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乳香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统货；乳香珠，无杂质。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三七粉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桑白皮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统货；全刮皮，切丝5～10mm,过8毫米筛去碎渣。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桑寄生</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桑螵蛸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统货；长2～5cm，宽1.5～3cm。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209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统货，呈长圆形，长l～2cm.直径0.5～0.8cm,过6毫米筛去碎渣。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统货，搓碎，去柄,过3毫米筛去碎渣。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桑枝</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统货，厚片2～4mm，直径0.5～1.5cm，片厚度均匀。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沙苑子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砂仁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统货，呈椭圆形或卵圆形，长1.5～2cm，直径1～1.5cm,完整无破碎。过8毫米筛去不饱满者及碎渣。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山豆根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山银花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蛇床子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统货；呈椭圆形，长2～4mm，直径约2mm,筛去碎渣。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射干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统货；薄片1～2mm，直径1～2cm过8毫米筛去碎渣，片厚度均匀。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伸筋草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统货；切段10-15mm,筛去碎渣。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219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升麻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统货；厚片2～4mm，直径2～4cm,过18毫米筛去小片及碎渣。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生龙骨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生麦芽</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生牡蛎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生蒲黄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统货；呈粉末状。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生三七</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生石膏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统货；呈不规则碎块，多为粗粉状。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石菖蒲</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统货，呈扁圆形或长条形的厚片2～4mm，直径0.6～1.2cm，过4毫米筛去碎渣，片厚度均匀。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石见穿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石决明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229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石榴皮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石韦</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首乌藤</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统货；呈圆柱形的段10-15mm，直径4～7mm，过4毫米筛去碎渣。长短均匀，不规则段不超过3%。</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熟地黄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统货；切厚片2-4mm或块，不规则的块片，直径2cm以上，过16毫米筛去小片及碎渣。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水牛角</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水蛭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统货；切段，宽0.5～2cm。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丝瓜络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苏木</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统货，劈成片，呈长片状，长约3cm，筛去碎渣。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酸枣仁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统货；长5～9mm，宽5～7mm，厚约3mm，瘪子率10%以下，</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锁阳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239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桃仁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统货；长1～1.8cm，宽0.7～1.2cm，厚0.2～0.5cm。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天冬</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统货；薄片1-2mm，直径0.5～2cm,过6毫米筛去碎渣，片厚度均匀。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天麻</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选货；薄片1-2mm，厚0.5～2cm,长径10cm以上。过14毫米筛去碎渣，片厚度均匀无边皮。</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甜叶菊</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葶苈子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通草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直径1.5-2.5cm，体轻，质松软，稍有弹性，切面平坦，呈银白色光泽。气微，味淡。</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土鳖虫</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统货；长1.3～3cm，宽1.2～ 2.4cm,过12毫米筛去碎渣。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土茯苓</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统货；薄片1-2mm，筛去碎渣，片厚度均匀。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菟丝子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瓦楞子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249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王不留行</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统货；爆花率97%以上。</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威灵仙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统货；长段10～15mm，直径0.1-1.5cm,无根茎，根粗细均匀。过2毫米筛去碎渣。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乌梅</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统货；直径1.5-3cm,过18毫米筛去碎渣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乌梢蛇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乌药</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统货；薄片1～2mm，直径1-3cm,过8毫米筛去小片及碎渣。片厚度均匀，不规则片不得过8%。</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吴茱萸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统货；直径2-5mm,过2毫米筛去碎渣。颜色较一致，果实大小较均匀。</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蜈蚣</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统货；长15cm，宽0.5～1cm。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五倍子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五加皮</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五灵脂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259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五味子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统货；无果梗，直径5～8mm，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五指毛桃</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西洋参</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西洋参片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豨莶草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细辛</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统货；长段10～15mm，直径0.1-0.4cm，过2毫米筛去碎渣。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仙茅</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直径0.8-1.2cm，外表皮棕色至褐色。切面灰白色至棕褐色。气微香，味微苦、辛。</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香附</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统货；直径0.6～1cm，大小均匀，无碎粒。过4毫米筛去碎渣。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香薷</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 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小茴香</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269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薤白</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统货；高0.5-3cm 直径0.5-1.8cm，无碎屑。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辛夷</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统货；长1.2-4cm 直径1-2cm，呈长卵形，过8毫米筛去碎渣，无碎屑。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新疆紫草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统货；体轻，质松软。</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color w:val="auto"/>
                <w:szCs w:val="21"/>
                <w:highlight w:val="none"/>
              </w:rPr>
            </w:pPr>
            <w:r>
              <w:rPr>
                <w:rFonts w:ascii="Arial" w:hAnsi="Arial" w:eastAsia="宋体" w:cs="Arial"/>
                <w:color w:val="auto"/>
                <w:kern w:val="0"/>
                <w:szCs w:val="21"/>
                <w:highlight w:val="none"/>
                <w:lang w:bidi="ar"/>
              </w:rPr>
              <w:t>绣花针</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统货；符合国家标准或者广西地方标准。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徐长卿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统货；长0.5-16cm，直径1-4mm。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续断片</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统货；切厚片，直径0.5～2cm。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玄明粉</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旋覆花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 直径1-2cm，无梗，无碎屑。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血竭</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统货；符合部颁及地方标准。按批准文号管理，需国药准字包装，提供资质批件。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寻骨风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279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盐巴戟天</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选货；略呈肾型，5～10mm，直径0.6～2cm，厚约1.5mm，微鼓起，无药屑。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盐黄柏</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盐橘核</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野菊花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益智仁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统货；除去杂质及外壳，种子直径约3mm。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茵陈</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绵茵陈，统货；符合药典标准。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银柴胡</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淫羊藿</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统货；切丝，除去枝梗。</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玉竹</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统货；直径1.2～2.5cm，薄片1～2mm，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郁金</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统货；长3.5～7cm，直径1.2～2.5mm。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289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郁李仁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统货；长5-10mm，直径3-7mm。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远志</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统货；切段，直径0.2～1cm。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皂角刺</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泽兰</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统货；长段10～15mm，茎直径0.2～0.6cm。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泽漆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统货；茎长20-30cm。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浙贝母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统货；厚片2～4mm，无碎渣。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珍珠母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知母</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统货；厚片2～4mm，直径0.9～1.5cm，过9毫米筛去碎渣。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栀子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统货；碎块，无杂质。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枳壳</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统货；切薄片，中果皮厚0.4～1.3cm。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299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枳实</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统货；切薄片，中果皮0.3-1.2cm,直径0.5-2.5cm。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制白附子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制草乌</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统货；直径0.7～1.8cm，厚片2~4mm，过7毫米筛去碎渣。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制川乌</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统货；直径1.3～2.5cm，厚片2~4mm，过13毫米筛去碎渣。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制何首乌</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统货；块片，厚约1cm，无碎渣。</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制马钱子</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统货；直径1.5-3cm,符合现行《中华人民共和国药典》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制天南星</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炙远志</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符合现行《中华人民共和国药典》 地方炮制规范</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307</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重楼</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猪苓</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统货；切厚片，直径2～6cm。</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309</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紫花地丁</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统货；切碎，无粉屑。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310</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紫石英</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311</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紫苏叶</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统货；长段10～15mm或完整叶片，除去杂质、枝梗。</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紫菀</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货；厚片2~4mm或短段5～10mm，短段直径大于0.1cm，筛去碎渣和杂质。</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自然铜</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w:t>
            </w:r>
            <w:r>
              <w:rPr>
                <w:rStyle w:val="177"/>
                <w:rFonts w:hint="default" w:ascii="Arial" w:hAnsi="Arial" w:cs="Arial"/>
                <w:color w:val="auto"/>
                <w:sz w:val="21"/>
                <w:szCs w:val="21"/>
                <w:highlight w:val="none"/>
                <w:lang w:bidi="ar"/>
              </w:rPr>
              <w:t>符合现行《中华人民共和国药典》</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314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走马胎</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ascii="Arial" w:hAnsi="Arial" w:eastAsia="宋体" w:cs="Arial"/>
                <w:color w:val="auto"/>
                <w:kern w:val="0"/>
                <w:szCs w:val="21"/>
                <w:highlight w:val="none"/>
                <w:lang w:bidi="ar"/>
              </w:rPr>
              <w:t>统货；符合部颁及地方标准。</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trHeight w:val="602" w:hRule="atLeast"/>
          <w:jc w:val="center"/>
        </w:trPr>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ascii="Arial" w:hAnsi="Arial" w:eastAsia="宋体" w:cs="Arial"/>
                <w:b/>
                <w:bCs/>
                <w:color w:val="auto"/>
                <w:szCs w:val="21"/>
                <w:highlight w:val="none"/>
              </w:rPr>
            </w:pPr>
            <w:r>
              <w:rPr>
                <w:rFonts w:ascii="Arial" w:hAnsi="Arial" w:eastAsia="宋体" w:cs="Arial"/>
                <w:b/>
                <w:bCs/>
                <w:color w:val="auto"/>
                <w:kern w:val="0"/>
                <w:szCs w:val="21"/>
                <w:highlight w:val="none"/>
                <w:lang w:bidi="ar"/>
              </w:rPr>
              <w:t>合计金额</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p>
        </w:tc>
      </w:tr>
      <w:tr>
        <w:tblPrEx>
          <w:tblCellMar>
            <w:top w:w="0" w:type="dxa"/>
            <w:left w:w="108" w:type="dxa"/>
            <w:bottom w:w="0" w:type="dxa"/>
            <w:right w:w="108" w:type="dxa"/>
          </w:tblCellMar>
        </w:tblPrEx>
        <w:trPr>
          <w:trHeight w:val="807" w:hRule="atLeast"/>
          <w:jc w:val="center"/>
        </w:trPr>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bottom"/>
              <w:rPr>
                <w:rFonts w:hint="default" w:ascii="Arial" w:hAnsi="Arial" w:eastAsia="宋体" w:cs="Arial"/>
                <w:b/>
                <w:bCs/>
                <w:color w:val="auto"/>
                <w:kern w:val="0"/>
                <w:szCs w:val="21"/>
                <w:highlight w:val="none"/>
                <w:lang w:val="en-US" w:eastAsia="zh-CN" w:bidi="ar"/>
              </w:rPr>
            </w:pPr>
            <w:r>
              <w:rPr>
                <w:rFonts w:hint="eastAsia" w:ascii="Arial" w:hAnsi="Arial" w:eastAsia="宋体" w:cs="Arial"/>
                <w:b/>
                <w:bCs/>
                <w:color w:val="auto"/>
                <w:kern w:val="0"/>
                <w:szCs w:val="21"/>
                <w:highlight w:val="none"/>
                <w:lang w:val="en-US" w:eastAsia="zh-CN" w:bidi="ar"/>
              </w:rPr>
              <w:t>控制价金额：</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Arial" w:hAnsi="Arial" w:eastAsia="宋体" w:cs="Arial"/>
                <w:color w:val="auto"/>
                <w:szCs w:val="21"/>
                <w:highlight w:val="none"/>
              </w:rPr>
            </w:pPr>
            <w:r>
              <w:rPr>
                <w:rFonts w:hint="eastAsia" w:ascii="Arial" w:hAnsi="Arial" w:eastAsia="宋体" w:cs="Arial"/>
                <w:color w:val="auto"/>
                <w:sz w:val="21"/>
                <w:szCs w:val="21"/>
                <w:lang w:val="en-US" w:eastAsia="zh-CN"/>
              </w:rPr>
              <w:t>81645.8</w:t>
            </w:r>
          </w:p>
        </w:tc>
      </w:tr>
    </w:tbl>
    <w:p>
      <w:pPr>
        <w:spacing w:line="440" w:lineRule="exact"/>
        <w:rPr>
          <w:rFonts w:ascii="Arial" w:hAnsi="Arial" w:cs="Arial"/>
          <w:b/>
          <w:color w:val="auto"/>
          <w:sz w:val="24"/>
          <w:highlight w:val="none"/>
        </w:rPr>
      </w:pPr>
    </w:p>
    <w:p>
      <w:pPr>
        <w:spacing w:line="440" w:lineRule="exact"/>
        <w:rPr>
          <w:rFonts w:ascii="Arial" w:hAnsi="Arial" w:cs="Arial"/>
          <w:b/>
          <w:color w:val="auto"/>
          <w:sz w:val="24"/>
          <w:highlight w:val="none"/>
        </w:rPr>
      </w:pPr>
    </w:p>
    <w:p>
      <w:pPr>
        <w:autoSpaceDE w:val="0"/>
        <w:rPr>
          <w:rFonts w:ascii="Arial" w:hAnsi="Arial" w:cs="Arial"/>
          <w:color w:val="auto"/>
          <w:highlight w:val="none"/>
        </w:rPr>
      </w:pPr>
    </w:p>
    <w:p>
      <w:pPr>
        <w:spacing w:line="440" w:lineRule="exact"/>
        <w:ind w:firstLine="4830"/>
        <w:rPr>
          <w:rFonts w:ascii="Arial" w:hAnsi="Arial" w:cs="Arial"/>
          <w:color w:val="auto"/>
          <w:highlight w:val="none"/>
        </w:rPr>
      </w:pPr>
    </w:p>
    <w:p>
      <w:pPr>
        <w:autoSpaceDE w:val="0"/>
        <w:rPr>
          <w:rFonts w:ascii="Arial" w:hAnsi="Arial" w:cs="Arial"/>
          <w:color w:val="auto"/>
          <w:highlight w:val="none"/>
        </w:rPr>
        <w:sectPr>
          <w:headerReference r:id="rId19" w:type="default"/>
          <w:type w:val="continuous"/>
          <w:pgSz w:w="11906" w:h="16838"/>
          <w:pgMar w:top="1246" w:right="1466" w:bottom="1090" w:left="1440" w:header="851" w:footer="992" w:gutter="0"/>
          <w:cols w:space="720" w:num="1"/>
          <w:docGrid w:type="lines" w:linePitch="312" w:charSpace="0"/>
        </w:sectPr>
      </w:pPr>
    </w:p>
    <w:p>
      <w:pPr>
        <w:pStyle w:val="21"/>
        <w:rPr>
          <w:rFonts w:ascii="Arial" w:hAnsi="Arial" w:cs="Arial"/>
          <w:color w:val="auto"/>
          <w:highlight w:val="none"/>
        </w:rPr>
      </w:pPr>
    </w:p>
    <w:p>
      <w:pPr>
        <w:pStyle w:val="21"/>
        <w:jc w:val="center"/>
        <w:rPr>
          <w:rFonts w:ascii="Arial" w:hAnsi="Arial" w:cs="Arial"/>
          <w:b/>
          <w:color w:val="auto"/>
          <w:sz w:val="28"/>
          <w:highlight w:val="none"/>
        </w:rPr>
      </w:pPr>
      <w:r>
        <w:rPr>
          <w:rFonts w:ascii="Arial" w:hAnsi="Arial" w:cs="Arial"/>
          <w:color w:val="auto"/>
          <w:highlight w:val="none"/>
        </w:rPr>
        <w:br w:type="page"/>
      </w:r>
      <w:r>
        <w:rPr>
          <w:rFonts w:ascii="Arial" w:hAnsi="Arial" w:cs="Arial"/>
          <w:color w:val="auto"/>
          <w:sz w:val="28"/>
          <w:highlight w:val="none"/>
        </w:rPr>
        <w:t>第二部分 商务技术文件</w:t>
      </w:r>
    </w:p>
    <w:p>
      <w:pPr>
        <w:autoSpaceDE w:val="0"/>
        <w:ind w:firstLine="3907"/>
        <w:jc w:val="left"/>
        <w:rPr>
          <w:rFonts w:ascii="Arial" w:hAnsi="Arial" w:cs="Arial"/>
          <w:b/>
          <w:color w:val="auto"/>
          <w:sz w:val="24"/>
          <w:highlight w:val="none"/>
        </w:rPr>
      </w:pPr>
      <w:r>
        <w:rPr>
          <w:rFonts w:ascii="Arial" w:hAnsi="Arial" w:cs="Arial"/>
          <w:b/>
          <w:color w:val="auto"/>
          <w:sz w:val="24"/>
          <w:highlight w:val="none"/>
        </w:rPr>
        <w:t>2.1磋商书</w:t>
      </w:r>
      <w:r>
        <w:rPr>
          <w:rFonts w:hint="eastAsia" w:ascii="Arial" w:hAnsi="Arial" w:cs="Arial"/>
          <w:b/>
          <w:color w:val="auto"/>
          <w:sz w:val="24"/>
          <w:highlight w:val="none"/>
        </w:rPr>
        <w:t>（必须提供）</w:t>
      </w:r>
    </w:p>
    <w:p>
      <w:pPr>
        <w:autoSpaceDE w:val="0"/>
        <w:spacing w:line="360" w:lineRule="auto"/>
        <w:jc w:val="left"/>
        <w:rPr>
          <w:rFonts w:ascii="Arial" w:hAnsi="Arial" w:cs="Arial"/>
          <w:color w:val="auto"/>
          <w:highlight w:val="none"/>
        </w:rPr>
      </w:pPr>
      <w:r>
        <w:rPr>
          <w:rFonts w:ascii="Arial" w:hAnsi="Arial" w:cs="Arial"/>
          <w:color w:val="auto"/>
          <w:highlight w:val="none"/>
        </w:rPr>
        <w:t>(采购单位名称) ：</w:t>
      </w:r>
    </w:p>
    <w:p>
      <w:pPr>
        <w:autoSpaceDE w:val="0"/>
        <w:spacing w:line="360" w:lineRule="auto"/>
        <w:ind w:firstLine="315"/>
        <w:jc w:val="left"/>
        <w:rPr>
          <w:rFonts w:ascii="Arial" w:hAnsi="Arial" w:cs="Arial"/>
          <w:color w:val="auto"/>
          <w:highlight w:val="none"/>
        </w:rPr>
      </w:pPr>
      <w:r>
        <w:rPr>
          <w:rFonts w:ascii="Arial" w:hAnsi="Arial" w:cs="Arial"/>
          <w:color w:val="auto"/>
          <w:highlight w:val="none"/>
        </w:rPr>
        <w:t>依据贵方</w:t>
      </w:r>
      <w:r>
        <w:rPr>
          <w:rFonts w:ascii="Arial" w:hAnsi="Arial" w:cs="Arial"/>
          <w:color w:val="auto"/>
          <w:highlight w:val="none"/>
          <w:u w:val="single"/>
        </w:rPr>
        <w:t xml:space="preserve">  (项目名称/项目编号)  </w:t>
      </w:r>
      <w:r>
        <w:rPr>
          <w:rFonts w:ascii="Arial" w:hAnsi="Arial" w:cs="Arial"/>
          <w:color w:val="auto"/>
          <w:highlight w:val="none"/>
        </w:rPr>
        <w:t>项目的磋商邀请，我方</w:t>
      </w:r>
      <w:r>
        <w:rPr>
          <w:rFonts w:ascii="Arial" w:hAnsi="Arial" w:cs="Arial"/>
          <w:color w:val="auto"/>
          <w:highlight w:val="none"/>
          <w:u w:val="single"/>
        </w:rPr>
        <w:t>（姓名和职务）</w:t>
      </w:r>
      <w:r>
        <w:rPr>
          <w:rFonts w:ascii="Arial" w:hAnsi="Arial" w:cs="Arial"/>
          <w:color w:val="auto"/>
          <w:highlight w:val="none"/>
        </w:rPr>
        <w:t>经正式授权并代表供应商</w:t>
      </w:r>
      <w:r>
        <w:rPr>
          <w:rFonts w:ascii="Arial" w:hAnsi="Arial" w:cs="Arial"/>
          <w:color w:val="auto"/>
          <w:highlight w:val="none"/>
          <w:u w:val="single"/>
        </w:rPr>
        <w:t xml:space="preserve">  (供应商名称)  </w:t>
      </w:r>
      <w:r>
        <w:rPr>
          <w:rFonts w:ascii="Arial" w:hAnsi="Arial" w:cs="Arial"/>
          <w:color w:val="auto"/>
          <w:highlight w:val="none"/>
        </w:rPr>
        <w:t>提交响应文件正本一份和副本</w:t>
      </w:r>
      <w:r>
        <w:rPr>
          <w:rFonts w:ascii="Arial" w:hAnsi="Arial" w:cs="Arial"/>
          <w:color w:val="auto"/>
          <w:highlight w:val="none"/>
          <w:u w:val="single"/>
        </w:rPr>
        <w:t xml:space="preserve"> </w:t>
      </w:r>
      <w:r>
        <w:rPr>
          <w:rFonts w:hint="eastAsia" w:ascii="Arial" w:hAnsi="Arial" w:cs="Arial"/>
          <w:color w:val="auto"/>
          <w:highlight w:val="none"/>
          <w:u w:val="single"/>
        </w:rPr>
        <w:t xml:space="preserve"> </w:t>
      </w:r>
      <w:r>
        <w:rPr>
          <w:rFonts w:ascii="Arial" w:hAnsi="Arial" w:cs="Arial"/>
          <w:color w:val="auto"/>
          <w:highlight w:val="none"/>
          <w:u w:val="single"/>
        </w:rPr>
        <w:t xml:space="preserve"> </w:t>
      </w:r>
      <w:r>
        <w:rPr>
          <w:rFonts w:ascii="Arial" w:hAnsi="Arial" w:cs="Arial"/>
          <w:color w:val="auto"/>
          <w:highlight w:val="none"/>
        </w:rPr>
        <w:t>份。</w:t>
      </w:r>
    </w:p>
    <w:p>
      <w:pPr>
        <w:autoSpaceDE w:val="0"/>
        <w:spacing w:line="360" w:lineRule="auto"/>
        <w:ind w:firstLine="315"/>
        <w:jc w:val="left"/>
        <w:rPr>
          <w:rFonts w:ascii="Arial" w:hAnsi="Arial" w:cs="Arial"/>
          <w:color w:val="auto"/>
          <w:highlight w:val="none"/>
        </w:rPr>
      </w:pPr>
      <w:r>
        <w:rPr>
          <w:rFonts w:ascii="Arial" w:hAnsi="Arial" w:cs="Arial"/>
          <w:color w:val="auto"/>
          <w:highlight w:val="none"/>
        </w:rPr>
        <w:t>在此，授权代表宣布同意如下：</w:t>
      </w:r>
    </w:p>
    <w:p>
      <w:pPr>
        <w:autoSpaceDE w:val="0"/>
        <w:spacing w:line="360" w:lineRule="auto"/>
        <w:ind w:firstLine="315"/>
        <w:jc w:val="left"/>
        <w:rPr>
          <w:rFonts w:ascii="Arial" w:hAnsi="Arial" w:cs="Arial"/>
          <w:color w:val="auto"/>
          <w:highlight w:val="none"/>
        </w:rPr>
      </w:pPr>
      <w:r>
        <w:rPr>
          <w:rFonts w:ascii="Arial" w:hAnsi="Arial" w:cs="Arial"/>
          <w:color w:val="auto"/>
          <w:highlight w:val="none"/>
        </w:rPr>
        <w:t>1. 我方已详细审查全部磋商文件，包括(补遗文件) (如果有的话) ；我们完全理解并同意放弃对这方面有不明及误解的权力；</w:t>
      </w:r>
    </w:p>
    <w:p>
      <w:pPr>
        <w:autoSpaceDE w:val="0"/>
        <w:spacing w:line="360" w:lineRule="auto"/>
        <w:ind w:firstLine="315"/>
        <w:jc w:val="left"/>
        <w:rPr>
          <w:rFonts w:ascii="Arial" w:hAnsi="Arial" w:cs="Arial"/>
          <w:color w:val="auto"/>
          <w:highlight w:val="none"/>
        </w:rPr>
      </w:pPr>
      <w:r>
        <w:rPr>
          <w:rFonts w:ascii="Arial" w:hAnsi="Arial" w:cs="Arial"/>
          <w:color w:val="auto"/>
          <w:highlight w:val="none"/>
        </w:rPr>
        <w:t>2. 磋商有效期为响应文件递交截止日期后</w:t>
      </w:r>
      <w:r>
        <w:rPr>
          <w:rFonts w:ascii="Arial" w:hAnsi="Arial" w:cs="Arial"/>
          <w:color w:val="auto"/>
          <w:highlight w:val="none"/>
          <w:u w:val="single"/>
        </w:rPr>
        <w:t>60天</w:t>
      </w:r>
      <w:r>
        <w:rPr>
          <w:rFonts w:ascii="Arial" w:hAnsi="Arial" w:cs="Arial"/>
          <w:color w:val="auto"/>
          <w:highlight w:val="none"/>
        </w:rPr>
        <w:t>；</w:t>
      </w:r>
    </w:p>
    <w:p>
      <w:pPr>
        <w:autoSpaceDE w:val="0"/>
        <w:spacing w:line="360" w:lineRule="auto"/>
        <w:ind w:firstLine="315"/>
        <w:jc w:val="left"/>
        <w:rPr>
          <w:rFonts w:ascii="Arial" w:hAnsi="Arial" w:cs="Arial"/>
          <w:color w:val="auto"/>
          <w:highlight w:val="none"/>
        </w:rPr>
      </w:pPr>
      <w:r>
        <w:rPr>
          <w:rFonts w:ascii="Arial" w:hAnsi="Arial" w:cs="Arial"/>
          <w:color w:val="auto"/>
          <w:highlight w:val="none"/>
        </w:rPr>
        <w:t>3. 如成交，本响应文件及磋商过程中达成的结果至本项目合同履行完毕止均保持有效，本供应商将按“磋商文件”、法规的规定履行合同责任和义务。</w:t>
      </w:r>
    </w:p>
    <w:p>
      <w:pPr>
        <w:autoSpaceDE w:val="0"/>
        <w:spacing w:line="360" w:lineRule="auto"/>
        <w:ind w:firstLine="315"/>
        <w:jc w:val="left"/>
        <w:rPr>
          <w:rFonts w:ascii="Arial" w:hAnsi="Arial" w:cs="Arial"/>
          <w:color w:val="auto"/>
          <w:highlight w:val="none"/>
        </w:rPr>
      </w:pPr>
      <w:r>
        <w:rPr>
          <w:rFonts w:ascii="Arial" w:hAnsi="Arial" w:cs="Arial"/>
          <w:color w:val="auto"/>
          <w:highlight w:val="none"/>
        </w:rPr>
        <w:t>4. 同意提供按照贵方可能要求的与其磋商有关的一切数据或资料；</w:t>
      </w:r>
    </w:p>
    <w:p>
      <w:pPr>
        <w:autoSpaceDE w:val="0"/>
        <w:spacing w:line="360" w:lineRule="auto"/>
        <w:ind w:firstLine="315"/>
        <w:jc w:val="left"/>
        <w:rPr>
          <w:rFonts w:ascii="Arial" w:hAnsi="Arial" w:cs="Arial"/>
          <w:color w:val="auto"/>
          <w:highlight w:val="none"/>
          <w:u w:val="single"/>
        </w:rPr>
      </w:pPr>
      <w:r>
        <w:rPr>
          <w:rFonts w:ascii="Arial" w:hAnsi="Arial" w:cs="Arial"/>
          <w:color w:val="auto"/>
          <w:highlight w:val="none"/>
        </w:rPr>
        <w:t>5. 与本磋商有关的一切正式往来信函请寄（地址及收件人）：</w:t>
      </w:r>
    </w:p>
    <w:p>
      <w:pPr>
        <w:autoSpaceDE w:val="0"/>
        <w:spacing w:line="360" w:lineRule="auto"/>
        <w:ind w:left="525" w:leftChars="200" w:hanging="105" w:hangingChars="50"/>
        <w:jc w:val="left"/>
        <w:rPr>
          <w:rFonts w:ascii="Arial" w:hAnsi="Arial" w:cs="Arial"/>
          <w:color w:val="auto"/>
          <w:highlight w:val="none"/>
        </w:rPr>
      </w:pPr>
      <w:r>
        <w:rPr>
          <w:rFonts w:ascii="Arial" w:hAnsi="Arial" w:cs="Arial"/>
          <w:color w:val="auto"/>
          <w:highlight w:val="none"/>
        </w:rPr>
        <w:t>电话/传真：</w:t>
      </w:r>
      <w:r>
        <w:rPr>
          <w:rFonts w:ascii="Arial" w:hAnsi="Arial" w:cs="Arial"/>
          <w:color w:val="auto"/>
          <w:highlight w:val="none"/>
          <w:u w:val="single"/>
        </w:rPr>
        <w:t xml:space="preserve">                           </w:t>
      </w:r>
      <w:r>
        <w:rPr>
          <w:rFonts w:ascii="Arial" w:hAnsi="Arial" w:cs="Arial"/>
          <w:color w:val="auto"/>
          <w:highlight w:val="none"/>
        </w:rPr>
        <w:t xml:space="preserve"> 电子函件：</w:t>
      </w:r>
    </w:p>
    <w:p>
      <w:pPr>
        <w:autoSpaceDE w:val="0"/>
        <w:spacing w:line="360" w:lineRule="auto"/>
        <w:ind w:left="525" w:leftChars="200" w:hanging="105" w:hangingChars="50"/>
        <w:jc w:val="left"/>
        <w:rPr>
          <w:rFonts w:ascii="Arial" w:hAnsi="Arial" w:cs="Arial"/>
          <w:color w:val="auto"/>
          <w:highlight w:val="none"/>
        </w:rPr>
      </w:pPr>
      <w:r>
        <w:rPr>
          <w:rFonts w:ascii="Arial" w:hAnsi="Arial" w:cs="Arial"/>
          <w:color w:val="auto"/>
          <w:highlight w:val="none"/>
        </w:rPr>
        <w:t>日期：</w:t>
      </w:r>
      <w:r>
        <w:rPr>
          <w:rFonts w:ascii="Arial" w:hAnsi="Arial" w:cs="Arial"/>
          <w:color w:val="auto"/>
          <w:highlight w:val="none"/>
          <w:u w:val="single"/>
        </w:rPr>
        <w:t xml:space="preserve">     </w:t>
      </w:r>
      <w:r>
        <w:rPr>
          <w:rFonts w:ascii="Arial" w:hAnsi="Arial" w:cs="Arial"/>
          <w:color w:val="auto"/>
          <w:highlight w:val="none"/>
        </w:rPr>
        <w:t>年</w:t>
      </w:r>
      <w:r>
        <w:rPr>
          <w:rFonts w:ascii="Arial" w:hAnsi="Arial" w:cs="Arial"/>
          <w:color w:val="auto"/>
          <w:highlight w:val="none"/>
          <w:u w:val="single"/>
        </w:rPr>
        <w:t xml:space="preserve">    </w:t>
      </w:r>
      <w:r>
        <w:rPr>
          <w:rFonts w:ascii="Arial" w:hAnsi="Arial" w:cs="Arial"/>
          <w:color w:val="auto"/>
          <w:highlight w:val="none"/>
        </w:rPr>
        <w:t>月</w:t>
      </w:r>
      <w:r>
        <w:rPr>
          <w:rFonts w:ascii="Arial" w:hAnsi="Arial" w:cs="Arial"/>
          <w:color w:val="auto"/>
          <w:highlight w:val="none"/>
          <w:u w:val="single"/>
        </w:rPr>
        <w:t xml:space="preserve">    </w:t>
      </w:r>
      <w:r>
        <w:rPr>
          <w:rFonts w:ascii="Arial" w:hAnsi="Arial" w:cs="Arial"/>
          <w:color w:val="auto"/>
          <w:highlight w:val="none"/>
        </w:rPr>
        <w:t>日</w:t>
      </w:r>
    </w:p>
    <w:p>
      <w:pPr>
        <w:autoSpaceDE w:val="0"/>
        <w:spacing w:line="360" w:lineRule="auto"/>
        <w:ind w:firstLine="315"/>
        <w:jc w:val="left"/>
        <w:rPr>
          <w:rFonts w:ascii="Arial" w:hAnsi="Arial" w:cs="Arial"/>
          <w:color w:val="auto"/>
          <w:highlight w:val="none"/>
          <w:u w:val="single"/>
        </w:rPr>
      </w:pPr>
      <w:r>
        <w:rPr>
          <w:rFonts w:ascii="Arial" w:hAnsi="Arial" w:cs="Arial"/>
          <w:color w:val="auto"/>
          <w:highlight w:val="none"/>
        </w:rPr>
        <w:t>供应商法定代表人或授权代表签字：</w:t>
      </w:r>
      <w:r>
        <w:rPr>
          <w:rFonts w:ascii="Arial" w:hAnsi="Arial" w:cs="Arial"/>
          <w:color w:val="auto"/>
          <w:highlight w:val="none"/>
          <w:u w:val="single"/>
        </w:rPr>
        <w:t xml:space="preserve">                </w:t>
      </w:r>
    </w:p>
    <w:p>
      <w:pPr>
        <w:autoSpaceDE w:val="0"/>
        <w:spacing w:line="360" w:lineRule="auto"/>
        <w:ind w:firstLine="315"/>
        <w:jc w:val="left"/>
        <w:rPr>
          <w:rFonts w:ascii="Arial" w:hAnsi="Arial" w:cs="Arial"/>
          <w:color w:val="auto"/>
          <w:highlight w:val="none"/>
        </w:rPr>
      </w:pPr>
      <w:r>
        <w:rPr>
          <w:rFonts w:ascii="Arial" w:hAnsi="Arial" w:cs="Arial"/>
          <w:color w:val="auto"/>
          <w:highlight w:val="none"/>
        </w:rPr>
        <w:t>供应商名称(盖章) ：</w:t>
      </w:r>
    </w:p>
    <w:p>
      <w:pPr>
        <w:autoSpaceDE w:val="0"/>
        <w:spacing w:line="360" w:lineRule="auto"/>
        <w:ind w:firstLine="315"/>
        <w:jc w:val="left"/>
        <w:rPr>
          <w:rFonts w:ascii="Arial" w:hAnsi="Arial" w:cs="Arial"/>
          <w:color w:val="auto"/>
          <w:highlight w:val="none"/>
        </w:rPr>
      </w:pPr>
      <w:r>
        <w:rPr>
          <w:rFonts w:ascii="Arial" w:hAnsi="Arial" w:cs="Arial"/>
          <w:color w:val="auto"/>
          <w:highlight w:val="none"/>
        </w:rPr>
        <w:t>开户银行：</w:t>
      </w:r>
      <w:r>
        <w:rPr>
          <w:rFonts w:ascii="Arial" w:hAnsi="Arial" w:cs="Arial"/>
          <w:color w:val="auto"/>
          <w:highlight w:val="none"/>
          <w:u w:val="single"/>
        </w:rPr>
        <w:t xml:space="preserve">                                 </w:t>
      </w:r>
      <w:r>
        <w:rPr>
          <w:rFonts w:ascii="Arial" w:hAnsi="Arial" w:cs="Arial"/>
          <w:color w:val="auto"/>
          <w:highlight w:val="none"/>
        </w:rPr>
        <w:t>账号/行号：</w:t>
      </w:r>
      <w:r>
        <w:rPr>
          <w:rFonts w:ascii="Arial" w:hAnsi="Arial" w:cs="Arial"/>
          <w:color w:val="auto"/>
          <w:highlight w:val="none"/>
          <w:u w:val="single"/>
        </w:rPr>
        <w:t xml:space="preserve"> </w:t>
      </w:r>
      <w:r>
        <w:rPr>
          <w:rFonts w:ascii="Arial" w:hAnsi="Arial" w:cs="Arial"/>
          <w:color w:val="auto"/>
          <w:highlight w:val="none"/>
        </w:rPr>
        <w:t xml:space="preserve">                                     </w:t>
      </w:r>
    </w:p>
    <w:p>
      <w:pPr>
        <w:spacing w:line="440" w:lineRule="exact"/>
        <w:ind w:firstLine="420"/>
        <w:rPr>
          <w:rFonts w:ascii="Arial" w:hAnsi="Arial" w:cs="Arial"/>
          <w:color w:val="auto"/>
          <w:sz w:val="20"/>
          <w:highlight w:val="none"/>
        </w:rPr>
      </w:pPr>
    </w:p>
    <w:p>
      <w:pPr>
        <w:spacing w:line="440" w:lineRule="exact"/>
        <w:jc w:val="center"/>
        <w:rPr>
          <w:rFonts w:ascii="Arial" w:hAnsi="Arial" w:cs="Arial"/>
          <w:b/>
          <w:color w:val="auto"/>
          <w:sz w:val="24"/>
          <w:highlight w:val="none"/>
        </w:rPr>
      </w:pPr>
      <w:r>
        <w:rPr>
          <w:rFonts w:ascii="Arial" w:hAnsi="Arial" w:cs="Arial"/>
          <w:color w:val="auto"/>
          <w:highlight w:val="none"/>
        </w:rPr>
        <w:br w:type="page"/>
      </w:r>
      <w:r>
        <w:rPr>
          <w:rFonts w:ascii="Arial" w:hAnsi="Arial" w:cs="Arial"/>
          <w:b/>
          <w:color w:val="auto"/>
          <w:sz w:val="24"/>
          <w:highlight w:val="none"/>
        </w:rPr>
        <w:t>磋商声明书</w:t>
      </w:r>
      <w:r>
        <w:rPr>
          <w:rFonts w:hint="eastAsia" w:ascii="Arial" w:hAnsi="Arial" w:cs="Arial"/>
          <w:b/>
          <w:color w:val="auto"/>
          <w:sz w:val="24"/>
          <w:highlight w:val="none"/>
        </w:rPr>
        <w:t>（必须提供）</w:t>
      </w:r>
    </w:p>
    <w:p>
      <w:pPr>
        <w:snapToGrid w:val="0"/>
        <w:spacing w:before="156" w:after="50" w:line="360" w:lineRule="exact"/>
        <w:jc w:val="center"/>
        <w:rPr>
          <w:rFonts w:ascii="Arial" w:hAnsi="Arial" w:cs="Arial"/>
          <w:color w:val="auto"/>
          <w:sz w:val="24"/>
          <w:highlight w:val="none"/>
        </w:rPr>
      </w:pPr>
    </w:p>
    <w:p>
      <w:pPr>
        <w:snapToGrid w:val="0"/>
        <w:spacing w:before="156" w:after="50" w:line="360" w:lineRule="exact"/>
        <w:rPr>
          <w:rFonts w:ascii="Arial" w:hAnsi="Arial" w:cs="Arial"/>
          <w:color w:val="auto"/>
          <w:highlight w:val="none"/>
        </w:rPr>
      </w:pPr>
      <w:r>
        <w:rPr>
          <w:rFonts w:ascii="Arial" w:hAnsi="Arial" w:cs="Arial"/>
          <w:color w:val="auto"/>
          <w:highlight w:val="none"/>
        </w:rPr>
        <w:t>致：____________（采购单位名称）：</w:t>
      </w:r>
    </w:p>
    <w:p>
      <w:pPr>
        <w:snapToGrid w:val="0"/>
        <w:spacing w:before="156" w:after="50" w:line="360" w:lineRule="exact"/>
        <w:ind w:firstLine="630"/>
        <w:rPr>
          <w:rFonts w:ascii="Arial" w:hAnsi="Arial" w:cs="Arial"/>
          <w:color w:val="auto"/>
          <w:highlight w:val="none"/>
        </w:rPr>
      </w:pPr>
      <w:r>
        <w:rPr>
          <w:rFonts w:ascii="Arial" w:hAnsi="Arial" w:cs="Arial"/>
          <w:color w:val="auto"/>
          <w:highlight w:val="none"/>
        </w:rPr>
        <w:t>_____________（供应商名称）系中华人民共和国合法企业，经营地址</w:t>
      </w:r>
      <w:r>
        <w:rPr>
          <w:rFonts w:ascii="Arial" w:hAnsi="Arial" w:cs="Arial"/>
          <w:color w:val="auto"/>
          <w:highlight w:val="none"/>
          <w:u w:val="single"/>
        </w:rPr>
        <w:t xml:space="preserve">                               </w:t>
      </w:r>
      <w:r>
        <w:rPr>
          <w:rFonts w:ascii="Arial" w:hAnsi="Arial" w:cs="Arial"/>
          <w:color w:val="auto"/>
          <w:highlight w:val="none"/>
        </w:rPr>
        <w:t>。</w:t>
      </w:r>
    </w:p>
    <w:p>
      <w:pPr>
        <w:snapToGrid w:val="0"/>
        <w:spacing w:before="156" w:after="50" w:line="360" w:lineRule="exact"/>
        <w:ind w:firstLine="645"/>
        <w:rPr>
          <w:rFonts w:ascii="Arial" w:hAnsi="Arial" w:cs="Arial"/>
          <w:color w:val="auto"/>
          <w:highlight w:val="none"/>
        </w:rPr>
      </w:pPr>
      <w:r>
        <w:rPr>
          <w:rFonts w:ascii="Arial" w:hAnsi="Arial" w:cs="Arial"/>
          <w:color w:val="auto"/>
          <w:highlight w:val="none"/>
        </w:rPr>
        <w:t>我____________（姓名）系_____________（供应商名称）的法定代表人，我方愿意参加贵方组织的_________________________项目的磋商，为便于贵方公正、择优地确定成交供应商及其产品和服务，我方就本次磋商有关事项郑重声明如下：</w:t>
      </w:r>
    </w:p>
    <w:p>
      <w:pPr>
        <w:snapToGrid w:val="0"/>
        <w:spacing w:before="156" w:line="360" w:lineRule="exact"/>
        <w:ind w:firstLine="420"/>
        <w:rPr>
          <w:rFonts w:ascii="Arial" w:hAnsi="Arial" w:cs="Arial"/>
          <w:color w:val="auto"/>
          <w:highlight w:val="none"/>
        </w:rPr>
      </w:pPr>
      <w:r>
        <w:rPr>
          <w:rFonts w:ascii="Arial" w:hAnsi="Arial" w:cs="Arial"/>
          <w:color w:val="auto"/>
          <w:highlight w:val="none"/>
        </w:rPr>
        <w:t>1．我方向贵方提交的所有响应文件、资料都是准确的和真实的。</w:t>
      </w:r>
    </w:p>
    <w:p>
      <w:pPr>
        <w:snapToGrid w:val="0"/>
        <w:spacing w:before="156" w:line="360" w:lineRule="exact"/>
        <w:ind w:firstLine="420"/>
        <w:rPr>
          <w:rFonts w:ascii="Arial" w:hAnsi="Arial" w:cs="Arial"/>
          <w:color w:val="auto"/>
          <w:highlight w:val="none"/>
        </w:rPr>
      </w:pPr>
      <w:r>
        <w:rPr>
          <w:rFonts w:ascii="Arial" w:hAnsi="Arial" w:cs="Arial"/>
          <w:color w:val="auto"/>
          <w:highlight w:val="none"/>
        </w:rPr>
        <w:t>2．我方不是采购人的附属机构；也不是为本项目提供整体设计、规范编制或者项目管理、监理、检测等服务的供应商或其附属机构。</w:t>
      </w:r>
    </w:p>
    <w:p>
      <w:pPr>
        <w:snapToGrid w:val="0"/>
        <w:spacing w:before="156" w:line="360" w:lineRule="exact"/>
        <w:ind w:firstLine="420"/>
        <w:rPr>
          <w:rFonts w:ascii="Arial" w:hAnsi="Arial" w:cs="Arial"/>
          <w:color w:val="auto"/>
          <w:highlight w:val="none"/>
        </w:rPr>
      </w:pPr>
      <w:r>
        <w:rPr>
          <w:rFonts w:ascii="Arial" w:hAnsi="Arial" w:cs="Arial"/>
          <w:color w:val="auto"/>
          <w:highlight w:val="none"/>
        </w:rPr>
        <w:t>3．我方及由本人在最近三年内在经营活动中没有重大违法记录。</w:t>
      </w:r>
    </w:p>
    <w:p>
      <w:pPr>
        <w:snapToGrid w:val="0"/>
        <w:spacing w:before="156" w:line="360" w:lineRule="exact"/>
        <w:ind w:firstLine="420"/>
        <w:rPr>
          <w:rFonts w:ascii="Arial" w:hAnsi="Arial" w:cs="Arial"/>
          <w:color w:val="auto"/>
          <w:highlight w:val="none"/>
        </w:rPr>
      </w:pPr>
      <w:r>
        <w:rPr>
          <w:rFonts w:ascii="Arial" w:hAnsi="Arial" w:cs="Arial"/>
          <w:color w:val="auto"/>
          <w:highlight w:val="none"/>
        </w:rPr>
        <w:t>4．我方对以上声明负全部法律责任。如有虚假或隐瞒，我方愿意承担一切后果，并不再寻求任何旨在减轻或免除法律责任的辩解。</w:t>
      </w:r>
    </w:p>
    <w:p>
      <w:pPr>
        <w:snapToGrid w:val="0"/>
        <w:spacing w:before="156" w:line="360" w:lineRule="exact"/>
        <w:ind w:firstLine="420"/>
        <w:rPr>
          <w:rFonts w:ascii="Arial" w:hAnsi="Arial" w:cs="Arial"/>
          <w:color w:val="auto"/>
          <w:highlight w:val="none"/>
        </w:rPr>
      </w:pPr>
    </w:p>
    <w:p>
      <w:pPr>
        <w:snapToGrid w:val="0"/>
        <w:spacing w:before="156" w:line="360" w:lineRule="exact"/>
        <w:ind w:firstLine="3509"/>
        <w:rPr>
          <w:rFonts w:ascii="Arial" w:hAnsi="Arial" w:cs="Arial"/>
          <w:color w:val="auto"/>
          <w:highlight w:val="none"/>
          <w:u w:val="single"/>
        </w:rPr>
      </w:pPr>
      <w:r>
        <w:rPr>
          <w:rFonts w:ascii="Arial" w:hAnsi="Arial" w:cs="Arial"/>
          <w:color w:val="auto"/>
          <w:highlight w:val="none"/>
        </w:rPr>
        <w:t>法定代表人签字：</w:t>
      </w:r>
      <w:r>
        <w:rPr>
          <w:rFonts w:ascii="Arial" w:hAnsi="Arial" w:cs="Arial"/>
          <w:color w:val="auto"/>
          <w:highlight w:val="none"/>
          <w:u w:val="single"/>
        </w:rPr>
        <w:t xml:space="preserve">             </w:t>
      </w:r>
    </w:p>
    <w:p>
      <w:pPr>
        <w:snapToGrid w:val="0"/>
        <w:spacing w:before="156" w:after="50" w:line="360" w:lineRule="exact"/>
        <w:ind w:firstLine="3570"/>
        <w:rPr>
          <w:rFonts w:ascii="Arial" w:hAnsi="Arial" w:cs="Arial"/>
          <w:color w:val="auto"/>
          <w:highlight w:val="none"/>
        </w:rPr>
      </w:pPr>
      <w:r>
        <w:rPr>
          <w:rFonts w:ascii="Arial" w:hAnsi="Arial" w:cs="Arial"/>
          <w:color w:val="auto"/>
          <w:highlight w:val="none"/>
        </w:rPr>
        <w:t>供应商公章：</w:t>
      </w:r>
      <w:r>
        <w:rPr>
          <w:rFonts w:ascii="Arial" w:hAnsi="Arial" w:cs="Arial"/>
          <w:color w:val="auto"/>
          <w:highlight w:val="none"/>
          <w:u w:val="single"/>
        </w:rPr>
        <w:t xml:space="preserve">                </w:t>
      </w:r>
    </w:p>
    <w:p>
      <w:pPr>
        <w:snapToGrid w:val="0"/>
        <w:spacing w:before="156" w:after="50" w:line="360" w:lineRule="exact"/>
        <w:ind w:firstLine="210"/>
        <w:rPr>
          <w:rFonts w:ascii="Arial" w:hAnsi="Arial" w:cs="Arial"/>
          <w:color w:val="auto"/>
          <w:highlight w:val="none"/>
        </w:rPr>
      </w:pPr>
      <w:r>
        <w:rPr>
          <w:rFonts w:ascii="Arial" w:hAnsi="Arial" w:cs="Arial"/>
          <w:color w:val="auto"/>
          <w:highlight w:val="none"/>
        </w:rPr>
        <w:t xml:space="preserve">                                          年    月    日</w:t>
      </w:r>
    </w:p>
    <w:p>
      <w:pPr>
        <w:spacing w:line="440" w:lineRule="exact"/>
        <w:jc w:val="center"/>
        <w:rPr>
          <w:rFonts w:ascii="Arial" w:hAnsi="Arial" w:cs="Arial"/>
          <w:b/>
          <w:color w:val="auto"/>
          <w:sz w:val="24"/>
          <w:highlight w:val="none"/>
        </w:rPr>
      </w:pPr>
      <w:r>
        <w:rPr>
          <w:rFonts w:ascii="Arial" w:hAnsi="Arial" w:cs="Arial"/>
          <w:color w:val="auto"/>
          <w:highlight w:val="none"/>
        </w:rPr>
        <w:br w:type="page"/>
      </w:r>
      <w:r>
        <w:rPr>
          <w:rFonts w:ascii="Arial" w:hAnsi="Arial" w:cs="Arial"/>
          <w:b/>
          <w:color w:val="auto"/>
          <w:sz w:val="24"/>
          <w:highlight w:val="none"/>
        </w:rPr>
        <w:t>2.2 法定代表人授权书</w:t>
      </w:r>
      <w:r>
        <w:rPr>
          <w:rFonts w:hint="eastAsia" w:ascii="Arial" w:hAnsi="Arial" w:cs="Arial"/>
          <w:b/>
          <w:color w:val="auto"/>
          <w:sz w:val="24"/>
          <w:highlight w:val="none"/>
        </w:rPr>
        <w:t>（必须提供）</w:t>
      </w:r>
    </w:p>
    <w:p>
      <w:pPr>
        <w:autoSpaceDE w:val="0"/>
        <w:jc w:val="left"/>
        <w:rPr>
          <w:rFonts w:ascii="Arial" w:hAnsi="Arial" w:cs="Arial"/>
          <w:b/>
          <w:color w:val="auto"/>
          <w:highlight w:val="none"/>
        </w:rPr>
      </w:pPr>
    </w:p>
    <w:p>
      <w:pPr>
        <w:autoSpaceDE w:val="0"/>
        <w:jc w:val="left"/>
        <w:rPr>
          <w:rFonts w:ascii="Arial" w:hAnsi="Arial" w:cs="Arial"/>
          <w:b/>
          <w:color w:val="auto"/>
          <w:highlight w:val="none"/>
        </w:rPr>
      </w:pPr>
    </w:p>
    <w:p>
      <w:pPr>
        <w:autoSpaceDE w:val="0"/>
        <w:spacing w:line="400" w:lineRule="exact"/>
        <w:jc w:val="left"/>
        <w:rPr>
          <w:rFonts w:ascii="Arial" w:hAnsi="Arial" w:cs="Arial"/>
          <w:color w:val="auto"/>
          <w:highlight w:val="none"/>
        </w:rPr>
      </w:pPr>
      <w:r>
        <w:rPr>
          <w:rFonts w:ascii="Arial" w:hAnsi="Arial" w:cs="Arial"/>
          <w:color w:val="auto"/>
          <w:highlight w:val="none"/>
        </w:rPr>
        <w:t>(采购代理机构)：</w:t>
      </w:r>
    </w:p>
    <w:p>
      <w:pPr>
        <w:autoSpaceDE w:val="0"/>
        <w:spacing w:line="400" w:lineRule="exact"/>
        <w:ind w:firstLine="525"/>
        <w:rPr>
          <w:rFonts w:ascii="Arial" w:hAnsi="Arial" w:cs="Arial"/>
          <w:color w:val="auto"/>
          <w:highlight w:val="none"/>
        </w:rPr>
      </w:pPr>
      <w:r>
        <w:rPr>
          <w:rFonts w:ascii="Arial" w:hAnsi="Arial" w:cs="Arial"/>
          <w:color w:val="auto"/>
          <w:highlight w:val="none"/>
        </w:rPr>
        <w:t>兹授权</w:t>
      </w:r>
      <w:r>
        <w:rPr>
          <w:rFonts w:ascii="Arial" w:hAnsi="Arial" w:cs="Arial"/>
          <w:color w:val="auto"/>
          <w:highlight w:val="none"/>
          <w:u w:val="single"/>
        </w:rPr>
        <w:t xml:space="preserve">         </w:t>
      </w:r>
      <w:r>
        <w:rPr>
          <w:rFonts w:ascii="Arial" w:hAnsi="Arial" w:cs="Arial"/>
          <w:color w:val="auto"/>
          <w:highlight w:val="none"/>
        </w:rPr>
        <w:t>同志为我公司参加贵单位组织的</w:t>
      </w:r>
      <w:r>
        <w:rPr>
          <w:rFonts w:ascii="Arial" w:hAnsi="Arial" w:cs="Arial"/>
          <w:color w:val="auto"/>
          <w:highlight w:val="none"/>
          <w:u w:val="single"/>
        </w:rPr>
        <w:t xml:space="preserve">    （项目名称）   </w:t>
      </w:r>
      <w:r>
        <w:rPr>
          <w:rFonts w:ascii="Arial" w:hAnsi="Arial" w:cs="Arial"/>
          <w:color w:val="auto"/>
          <w:highlight w:val="none"/>
        </w:rPr>
        <w:t>采购活动的磋商代表人，全权代表我公司处理在该项目活动中的一切事宜。代理期限从</w:t>
      </w:r>
      <w:r>
        <w:rPr>
          <w:rFonts w:ascii="Arial" w:hAnsi="Arial" w:cs="Arial"/>
          <w:color w:val="auto"/>
          <w:highlight w:val="none"/>
          <w:u w:val="single"/>
        </w:rPr>
        <w:t xml:space="preserve">     </w:t>
      </w:r>
      <w:r>
        <w:rPr>
          <w:rFonts w:ascii="Arial" w:hAnsi="Arial" w:cs="Arial"/>
          <w:color w:val="auto"/>
          <w:highlight w:val="none"/>
        </w:rPr>
        <w:t>年</w:t>
      </w:r>
      <w:r>
        <w:rPr>
          <w:rFonts w:ascii="Arial" w:hAnsi="Arial" w:cs="Arial"/>
          <w:color w:val="auto"/>
          <w:highlight w:val="none"/>
          <w:u w:val="single"/>
        </w:rPr>
        <w:t xml:space="preserve">    </w:t>
      </w:r>
      <w:r>
        <w:rPr>
          <w:rFonts w:ascii="Arial" w:hAnsi="Arial" w:cs="Arial"/>
          <w:color w:val="auto"/>
          <w:highlight w:val="none"/>
        </w:rPr>
        <w:t>月</w:t>
      </w:r>
      <w:r>
        <w:rPr>
          <w:rFonts w:ascii="Arial" w:hAnsi="Arial" w:cs="Arial"/>
          <w:color w:val="auto"/>
          <w:highlight w:val="none"/>
          <w:u w:val="single"/>
        </w:rPr>
        <w:t xml:space="preserve">    </w:t>
      </w:r>
      <w:r>
        <w:rPr>
          <w:rFonts w:ascii="Arial" w:hAnsi="Arial" w:cs="Arial"/>
          <w:color w:val="auto"/>
          <w:highlight w:val="none"/>
        </w:rPr>
        <w:t>日起至</w:t>
      </w:r>
      <w:r>
        <w:rPr>
          <w:rFonts w:ascii="Arial" w:hAnsi="Arial" w:cs="Arial"/>
          <w:color w:val="auto"/>
          <w:highlight w:val="none"/>
          <w:u w:val="single"/>
        </w:rPr>
        <w:t xml:space="preserve">     </w:t>
      </w:r>
      <w:r>
        <w:rPr>
          <w:rFonts w:ascii="Arial" w:hAnsi="Arial" w:cs="Arial"/>
          <w:color w:val="auto"/>
          <w:highlight w:val="none"/>
        </w:rPr>
        <w:t>年</w:t>
      </w:r>
      <w:r>
        <w:rPr>
          <w:rFonts w:ascii="Arial" w:hAnsi="Arial" w:cs="Arial"/>
          <w:color w:val="auto"/>
          <w:highlight w:val="none"/>
          <w:u w:val="single"/>
        </w:rPr>
        <w:t xml:space="preserve">   </w:t>
      </w:r>
      <w:r>
        <w:rPr>
          <w:rFonts w:ascii="Arial" w:hAnsi="Arial" w:cs="Arial"/>
          <w:color w:val="auto"/>
          <w:highlight w:val="none"/>
        </w:rPr>
        <w:t>月</w:t>
      </w:r>
      <w:r>
        <w:rPr>
          <w:rFonts w:ascii="Arial" w:hAnsi="Arial" w:cs="Arial"/>
          <w:color w:val="auto"/>
          <w:highlight w:val="none"/>
          <w:u w:val="single"/>
        </w:rPr>
        <w:t xml:space="preserve">   </w:t>
      </w:r>
      <w:r>
        <w:rPr>
          <w:rFonts w:ascii="Arial" w:hAnsi="Arial" w:cs="Arial"/>
          <w:color w:val="auto"/>
          <w:highlight w:val="none"/>
        </w:rPr>
        <w:t>日止。</w:t>
      </w:r>
    </w:p>
    <w:p>
      <w:pPr>
        <w:autoSpaceDE w:val="0"/>
        <w:spacing w:line="400" w:lineRule="exact"/>
        <w:ind w:firstLine="525"/>
        <w:jc w:val="left"/>
        <w:rPr>
          <w:rFonts w:ascii="Arial" w:hAnsi="Arial" w:cs="Arial"/>
          <w:color w:val="auto"/>
          <w:highlight w:val="none"/>
        </w:rPr>
      </w:pPr>
    </w:p>
    <w:p>
      <w:pPr>
        <w:autoSpaceDE w:val="0"/>
        <w:spacing w:line="400" w:lineRule="exact"/>
        <w:ind w:firstLine="525"/>
        <w:jc w:val="left"/>
        <w:rPr>
          <w:rFonts w:ascii="Arial" w:hAnsi="Arial" w:cs="Arial"/>
          <w:color w:val="auto"/>
          <w:highlight w:val="none"/>
          <w:u w:val="single"/>
        </w:rPr>
      </w:pPr>
      <w:r>
        <w:rPr>
          <w:rFonts w:ascii="Arial" w:hAnsi="Arial" w:cs="Arial"/>
          <w:color w:val="auto"/>
          <w:highlight w:val="none"/>
        </w:rPr>
        <w:t>授权单位(盖章) ：</w:t>
      </w:r>
      <w:r>
        <w:rPr>
          <w:rFonts w:ascii="Arial" w:hAnsi="Arial" w:cs="Arial"/>
          <w:color w:val="auto"/>
          <w:highlight w:val="none"/>
          <w:u w:val="single"/>
        </w:rPr>
        <w:t xml:space="preserve">                          </w:t>
      </w:r>
    </w:p>
    <w:p>
      <w:pPr>
        <w:autoSpaceDE w:val="0"/>
        <w:spacing w:line="400" w:lineRule="exact"/>
        <w:ind w:firstLine="525"/>
        <w:jc w:val="left"/>
        <w:rPr>
          <w:rFonts w:ascii="Arial" w:hAnsi="Arial" w:cs="Arial"/>
          <w:color w:val="auto"/>
          <w:highlight w:val="none"/>
          <w:u w:val="single"/>
        </w:rPr>
      </w:pPr>
      <w:r>
        <w:rPr>
          <w:rFonts w:ascii="Arial" w:hAnsi="Arial" w:cs="Arial"/>
          <w:color w:val="auto"/>
          <w:highlight w:val="none"/>
        </w:rPr>
        <w:t>法定代表人(签字或盖章) ：</w:t>
      </w:r>
      <w:r>
        <w:rPr>
          <w:rFonts w:ascii="Arial" w:hAnsi="Arial" w:cs="Arial"/>
          <w:color w:val="auto"/>
          <w:highlight w:val="none"/>
          <w:u w:val="single"/>
        </w:rPr>
        <w:t xml:space="preserve">                  </w:t>
      </w:r>
    </w:p>
    <w:p>
      <w:pPr>
        <w:autoSpaceDE w:val="0"/>
        <w:spacing w:line="400" w:lineRule="exact"/>
        <w:ind w:firstLine="525"/>
        <w:jc w:val="left"/>
        <w:rPr>
          <w:rFonts w:ascii="Arial" w:hAnsi="Arial" w:cs="Arial"/>
          <w:color w:val="auto"/>
          <w:highlight w:val="none"/>
        </w:rPr>
      </w:pPr>
      <w:r>
        <w:rPr>
          <w:rFonts w:ascii="Arial" w:hAnsi="Arial" w:cs="Arial"/>
          <w:color w:val="auto"/>
          <w:highlight w:val="none"/>
        </w:rPr>
        <w:t>签发日期：</w:t>
      </w:r>
      <w:r>
        <w:rPr>
          <w:rFonts w:ascii="Arial" w:hAnsi="Arial" w:cs="Arial"/>
          <w:color w:val="auto"/>
          <w:highlight w:val="none"/>
          <w:u w:val="single"/>
        </w:rPr>
        <w:t xml:space="preserve">    </w:t>
      </w:r>
      <w:r>
        <w:rPr>
          <w:rFonts w:ascii="Arial" w:hAnsi="Arial" w:cs="Arial"/>
          <w:color w:val="auto"/>
          <w:highlight w:val="none"/>
        </w:rPr>
        <w:t xml:space="preserve"> 年</w:t>
      </w:r>
      <w:r>
        <w:rPr>
          <w:rFonts w:ascii="Arial" w:hAnsi="Arial" w:cs="Arial"/>
          <w:color w:val="auto"/>
          <w:highlight w:val="none"/>
          <w:u w:val="single"/>
        </w:rPr>
        <w:t xml:space="preserve">    </w:t>
      </w:r>
      <w:r>
        <w:rPr>
          <w:rFonts w:ascii="Arial" w:hAnsi="Arial" w:cs="Arial"/>
          <w:color w:val="auto"/>
          <w:highlight w:val="none"/>
        </w:rPr>
        <w:t>月</w:t>
      </w:r>
      <w:r>
        <w:rPr>
          <w:rFonts w:ascii="Arial" w:hAnsi="Arial" w:cs="Arial"/>
          <w:color w:val="auto"/>
          <w:highlight w:val="none"/>
          <w:u w:val="single"/>
        </w:rPr>
        <w:t xml:space="preserve">    </w:t>
      </w:r>
      <w:r>
        <w:rPr>
          <w:rFonts w:ascii="Arial" w:hAnsi="Arial" w:cs="Arial"/>
          <w:color w:val="auto"/>
          <w:highlight w:val="none"/>
        </w:rPr>
        <w:t>日</w:t>
      </w:r>
    </w:p>
    <w:p>
      <w:pPr>
        <w:autoSpaceDE w:val="0"/>
        <w:spacing w:line="400" w:lineRule="exact"/>
        <w:ind w:firstLine="525"/>
        <w:jc w:val="left"/>
        <w:rPr>
          <w:rFonts w:ascii="Arial" w:hAnsi="Arial" w:cs="Arial"/>
          <w:color w:val="auto"/>
          <w:highlight w:val="none"/>
        </w:rPr>
      </w:pPr>
    </w:p>
    <w:p>
      <w:pPr>
        <w:autoSpaceDE w:val="0"/>
        <w:spacing w:line="400" w:lineRule="exact"/>
        <w:ind w:firstLine="525"/>
        <w:jc w:val="left"/>
        <w:rPr>
          <w:rFonts w:ascii="Arial" w:hAnsi="Arial" w:cs="Arial"/>
          <w:color w:val="auto"/>
          <w:highlight w:val="none"/>
          <w:u w:val="single"/>
        </w:rPr>
      </w:pPr>
      <w:r>
        <w:rPr>
          <w:rFonts w:ascii="Arial" w:hAnsi="Arial" w:cs="Arial"/>
          <w:color w:val="auto"/>
          <w:highlight w:val="none"/>
        </w:rPr>
        <w:t>附：代理人工作单位：</w:t>
      </w:r>
      <w:r>
        <w:rPr>
          <w:rFonts w:ascii="Arial" w:hAnsi="Arial" w:cs="Arial"/>
          <w:color w:val="auto"/>
          <w:highlight w:val="none"/>
          <w:u w:val="single"/>
        </w:rPr>
        <w:t xml:space="preserve">                             </w:t>
      </w:r>
    </w:p>
    <w:p>
      <w:pPr>
        <w:autoSpaceDE w:val="0"/>
        <w:spacing w:line="400" w:lineRule="exact"/>
        <w:ind w:firstLine="525"/>
        <w:jc w:val="left"/>
        <w:rPr>
          <w:rFonts w:ascii="Arial" w:hAnsi="Arial" w:cs="Arial"/>
          <w:color w:val="auto"/>
          <w:highlight w:val="none"/>
          <w:u w:val="single"/>
        </w:rPr>
      </w:pPr>
      <w:r>
        <w:rPr>
          <w:rFonts w:ascii="Arial" w:hAnsi="Arial" w:cs="Arial"/>
          <w:color w:val="auto"/>
          <w:highlight w:val="none"/>
        </w:rPr>
        <w:t>职务：</w:t>
      </w:r>
      <w:r>
        <w:rPr>
          <w:rFonts w:ascii="Arial" w:hAnsi="Arial" w:cs="Arial"/>
          <w:color w:val="auto"/>
          <w:highlight w:val="none"/>
          <w:u w:val="single"/>
        </w:rPr>
        <w:t xml:space="preserve">                </w:t>
      </w:r>
      <w:r>
        <w:rPr>
          <w:rFonts w:ascii="Arial" w:hAnsi="Arial" w:cs="Arial"/>
          <w:color w:val="auto"/>
          <w:highlight w:val="none"/>
        </w:rPr>
        <w:t xml:space="preserve">       性别：</w:t>
      </w:r>
      <w:r>
        <w:rPr>
          <w:rFonts w:ascii="Arial" w:hAnsi="Arial" w:cs="Arial"/>
          <w:color w:val="auto"/>
          <w:highlight w:val="none"/>
          <w:u w:val="single"/>
        </w:rPr>
        <w:t xml:space="preserve">              </w:t>
      </w:r>
    </w:p>
    <w:p>
      <w:pPr>
        <w:autoSpaceDE w:val="0"/>
        <w:spacing w:line="400" w:lineRule="exact"/>
        <w:ind w:firstLine="525"/>
        <w:jc w:val="left"/>
        <w:rPr>
          <w:rFonts w:ascii="Arial" w:hAnsi="Arial" w:cs="Arial"/>
          <w:color w:val="auto"/>
          <w:highlight w:val="none"/>
          <w:u w:val="single"/>
        </w:rPr>
      </w:pPr>
      <w:r>
        <w:rPr>
          <w:rFonts w:ascii="Arial" w:hAnsi="Arial" w:cs="Arial"/>
          <w:color w:val="auto"/>
          <w:highlight w:val="none"/>
        </w:rPr>
        <w:t>身份证号码：</w:t>
      </w:r>
      <w:r>
        <w:rPr>
          <w:rFonts w:ascii="Arial" w:hAnsi="Arial" w:cs="Arial"/>
          <w:color w:val="auto"/>
          <w:highlight w:val="none"/>
          <w:u w:val="single"/>
        </w:rPr>
        <w:t xml:space="preserve">                                     </w:t>
      </w:r>
    </w:p>
    <w:p>
      <w:pPr>
        <w:autoSpaceDE w:val="0"/>
        <w:spacing w:line="400" w:lineRule="exact"/>
        <w:ind w:firstLine="525"/>
        <w:jc w:val="left"/>
        <w:rPr>
          <w:rFonts w:ascii="Arial" w:hAnsi="Arial" w:cs="Arial"/>
          <w:color w:val="auto"/>
          <w:highlight w:val="none"/>
          <w:u w:val="single"/>
        </w:rPr>
      </w:pPr>
    </w:p>
    <w:p>
      <w:pPr>
        <w:autoSpaceDE w:val="0"/>
        <w:ind w:firstLine="525"/>
        <w:jc w:val="left"/>
        <w:rPr>
          <w:rFonts w:ascii="Arial" w:hAnsi="Arial" w:cs="Arial"/>
          <w:color w:val="auto"/>
          <w:highlight w:val="none"/>
          <w:u w:val="single"/>
        </w:rPr>
      </w:pPr>
    </w:p>
    <w:p>
      <w:pPr>
        <w:autoSpaceDE w:val="0"/>
        <w:ind w:firstLine="525"/>
        <w:jc w:val="left"/>
        <w:rPr>
          <w:rFonts w:ascii="Arial" w:hAnsi="Arial" w:cs="Arial"/>
          <w:color w:val="auto"/>
          <w:highlight w:val="none"/>
          <w:u w:val="single"/>
        </w:rPr>
      </w:pPr>
    </w:p>
    <w:p>
      <w:pPr>
        <w:spacing w:line="440" w:lineRule="exact"/>
        <w:ind w:firstLine="420"/>
        <w:rPr>
          <w:rFonts w:ascii="Arial" w:hAnsi="Arial" w:cs="Arial"/>
          <w:color w:val="auto"/>
          <w:highlight w:val="none"/>
        </w:rPr>
      </w:pPr>
      <w:r>
        <w:rPr>
          <w:rFonts w:ascii="Arial" w:hAnsi="Arial" w:cs="Arial"/>
          <w:color w:val="auto"/>
          <w:highlight w:val="none"/>
        </w:rPr>
        <w:t>附：法定代表人身份证复印件</w:t>
      </w:r>
    </w:p>
    <w:p>
      <w:pPr>
        <w:spacing w:line="440" w:lineRule="exact"/>
        <w:ind w:firstLine="420"/>
        <w:rPr>
          <w:rFonts w:ascii="Arial" w:hAnsi="Arial" w:cs="Arial"/>
          <w:color w:val="auto"/>
          <w:sz w:val="20"/>
          <w:highlight w:val="none"/>
        </w:rPr>
      </w:pPr>
      <w:r>
        <w:rPr>
          <w:rFonts w:ascii="Arial" w:hAnsi="Arial" w:cs="Arial"/>
          <w:color w:val="auto"/>
          <w:highlight w:val="none"/>
        </w:rPr>
        <w:t>委托代理人身份证复印件</w:t>
      </w:r>
    </w:p>
    <w:p>
      <w:pPr>
        <w:snapToGrid w:val="0"/>
        <w:spacing w:before="120" w:beforeLines="50" w:after="50" w:line="440" w:lineRule="exact"/>
        <w:jc w:val="center"/>
        <w:rPr>
          <w:rFonts w:ascii="Arial" w:hAnsi="Arial" w:cs="Arial"/>
          <w:b/>
          <w:color w:val="auto"/>
          <w:szCs w:val="21"/>
          <w:highlight w:val="none"/>
        </w:rPr>
      </w:pPr>
      <w:r>
        <w:rPr>
          <w:rFonts w:ascii="Arial" w:hAnsi="Arial" w:cs="Arial"/>
          <w:color w:val="auto"/>
          <w:sz w:val="20"/>
          <w:highlight w:val="none"/>
        </w:rPr>
        <w:br w:type="page"/>
      </w:r>
      <w:r>
        <w:rPr>
          <w:rFonts w:ascii="Arial" w:hAnsi="Arial" w:cs="Arial"/>
          <w:b/>
          <w:color w:val="auto"/>
          <w:szCs w:val="21"/>
          <w:highlight w:val="none"/>
        </w:rPr>
        <w:t>法定代表人身份证明</w:t>
      </w:r>
    </w:p>
    <w:p>
      <w:pPr>
        <w:spacing w:line="360" w:lineRule="auto"/>
        <w:rPr>
          <w:rFonts w:ascii="Arial" w:hAnsi="Arial" w:cs="Arial"/>
          <w:color w:val="auto"/>
          <w:highlight w:val="none"/>
        </w:rPr>
      </w:pPr>
    </w:p>
    <w:p>
      <w:pPr>
        <w:spacing w:line="360" w:lineRule="auto"/>
        <w:rPr>
          <w:rFonts w:ascii="Arial" w:hAnsi="Arial" w:cs="Arial"/>
          <w:color w:val="auto"/>
          <w:highlight w:val="none"/>
        </w:rPr>
      </w:pPr>
    </w:p>
    <w:p>
      <w:pPr>
        <w:spacing w:line="540" w:lineRule="exact"/>
        <w:rPr>
          <w:rFonts w:ascii="Arial" w:hAnsi="Arial" w:cs="Arial"/>
          <w:color w:val="auto"/>
          <w:szCs w:val="21"/>
          <w:highlight w:val="none"/>
        </w:rPr>
      </w:pPr>
      <w:r>
        <w:rPr>
          <w:rFonts w:ascii="Arial" w:hAnsi="Arial" w:cs="Arial"/>
          <w:color w:val="auto"/>
          <w:szCs w:val="21"/>
          <w:highlight w:val="none"/>
        </w:rPr>
        <w:t>供应商名称：</w:t>
      </w:r>
      <w:r>
        <w:rPr>
          <w:rFonts w:ascii="Arial" w:hAnsi="Arial" w:cs="Arial"/>
          <w:color w:val="auto"/>
          <w:szCs w:val="21"/>
          <w:highlight w:val="none"/>
          <w:u w:val="single"/>
        </w:rPr>
        <w:t xml:space="preserve">                                         </w:t>
      </w:r>
    </w:p>
    <w:p>
      <w:pPr>
        <w:spacing w:line="540" w:lineRule="exact"/>
        <w:rPr>
          <w:rFonts w:ascii="Arial" w:hAnsi="Arial" w:cs="Arial"/>
          <w:color w:val="auto"/>
          <w:szCs w:val="21"/>
          <w:highlight w:val="none"/>
        </w:rPr>
      </w:pPr>
      <w:r>
        <w:rPr>
          <w:rFonts w:ascii="Arial" w:hAnsi="Arial" w:cs="Arial"/>
          <w:color w:val="auto"/>
          <w:szCs w:val="21"/>
          <w:highlight w:val="none"/>
        </w:rPr>
        <w:t>单位性质：</w:t>
      </w:r>
      <w:r>
        <w:rPr>
          <w:rFonts w:ascii="Arial" w:hAnsi="Arial" w:cs="Arial"/>
          <w:color w:val="auto"/>
          <w:szCs w:val="21"/>
          <w:highlight w:val="none"/>
          <w:u w:val="single"/>
        </w:rPr>
        <w:t xml:space="preserve">                                           </w:t>
      </w:r>
    </w:p>
    <w:p>
      <w:pPr>
        <w:spacing w:line="540" w:lineRule="exact"/>
        <w:rPr>
          <w:rFonts w:ascii="Arial" w:hAnsi="Arial" w:cs="Arial"/>
          <w:color w:val="auto"/>
          <w:szCs w:val="21"/>
          <w:highlight w:val="none"/>
        </w:rPr>
      </w:pPr>
      <w:r>
        <w:rPr>
          <w:rFonts w:ascii="Arial" w:hAnsi="Arial" w:cs="Arial"/>
          <w:color w:val="auto"/>
          <w:szCs w:val="21"/>
          <w:highlight w:val="none"/>
        </w:rPr>
        <w:t>地址：</w:t>
      </w:r>
      <w:r>
        <w:rPr>
          <w:rFonts w:ascii="Arial" w:hAnsi="Arial" w:cs="Arial"/>
          <w:color w:val="auto"/>
          <w:szCs w:val="21"/>
          <w:highlight w:val="none"/>
          <w:u w:val="single"/>
        </w:rPr>
        <w:t xml:space="preserve">                                               </w:t>
      </w:r>
    </w:p>
    <w:p>
      <w:pPr>
        <w:spacing w:line="540" w:lineRule="exact"/>
        <w:rPr>
          <w:rFonts w:ascii="Arial" w:hAnsi="Arial" w:cs="Arial"/>
          <w:color w:val="auto"/>
          <w:szCs w:val="21"/>
          <w:highlight w:val="none"/>
          <w:u w:val="single"/>
        </w:rPr>
      </w:pPr>
      <w:r>
        <w:rPr>
          <w:rFonts w:ascii="Arial" w:hAnsi="Arial" w:cs="Arial"/>
          <w:color w:val="auto"/>
          <w:szCs w:val="21"/>
          <w:highlight w:val="none"/>
        </w:rPr>
        <w:t>成立时间：</w:t>
      </w:r>
      <w:r>
        <w:rPr>
          <w:rFonts w:ascii="Arial" w:hAnsi="Arial" w:cs="Arial"/>
          <w:color w:val="auto"/>
          <w:szCs w:val="21"/>
          <w:highlight w:val="none"/>
          <w:u w:val="single"/>
        </w:rPr>
        <w:t xml:space="preserve">          年        月        日</w:t>
      </w:r>
    </w:p>
    <w:p>
      <w:pPr>
        <w:spacing w:line="540" w:lineRule="exact"/>
        <w:rPr>
          <w:rFonts w:ascii="Arial" w:hAnsi="Arial" w:cs="Arial"/>
          <w:color w:val="auto"/>
          <w:szCs w:val="21"/>
          <w:highlight w:val="none"/>
        </w:rPr>
      </w:pPr>
      <w:r>
        <w:rPr>
          <w:rFonts w:ascii="Arial" w:hAnsi="Arial" w:cs="Arial"/>
          <w:color w:val="auto"/>
          <w:szCs w:val="21"/>
          <w:highlight w:val="none"/>
        </w:rPr>
        <w:t>经营期限：</w:t>
      </w:r>
      <w:r>
        <w:rPr>
          <w:rFonts w:ascii="Arial" w:hAnsi="Arial" w:cs="Arial"/>
          <w:color w:val="auto"/>
          <w:szCs w:val="21"/>
          <w:highlight w:val="none"/>
          <w:u w:val="single"/>
        </w:rPr>
        <w:t xml:space="preserve">                                           </w:t>
      </w:r>
    </w:p>
    <w:p>
      <w:pPr>
        <w:spacing w:line="540" w:lineRule="exact"/>
        <w:rPr>
          <w:rFonts w:ascii="Arial" w:hAnsi="Arial" w:cs="Arial"/>
          <w:color w:val="auto"/>
          <w:szCs w:val="21"/>
          <w:highlight w:val="none"/>
        </w:rPr>
      </w:pPr>
      <w:r>
        <w:rPr>
          <w:rFonts w:ascii="Arial" w:hAnsi="Arial" w:cs="Arial"/>
          <w:color w:val="auto"/>
          <w:szCs w:val="21"/>
          <w:highlight w:val="none"/>
        </w:rPr>
        <w:t>姓名：</w:t>
      </w:r>
      <w:r>
        <w:rPr>
          <w:rFonts w:ascii="Arial" w:hAnsi="Arial" w:cs="Arial"/>
          <w:color w:val="auto"/>
          <w:szCs w:val="21"/>
          <w:highlight w:val="none"/>
          <w:u w:val="single"/>
        </w:rPr>
        <w:t xml:space="preserve">                   </w:t>
      </w:r>
      <w:r>
        <w:rPr>
          <w:rFonts w:ascii="Arial" w:hAnsi="Arial" w:cs="Arial"/>
          <w:color w:val="auto"/>
          <w:szCs w:val="21"/>
          <w:highlight w:val="none"/>
        </w:rPr>
        <w:t>；性别：</w:t>
      </w:r>
      <w:r>
        <w:rPr>
          <w:rFonts w:ascii="Arial" w:hAnsi="Arial" w:cs="Arial"/>
          <w:color w:val="auto"/>
          <w:szCs w:val="21"/>
          <w:highlight w:val="none"/>
          <w:u w:val="single"/>
        </w:rPr>
        <w:t xml:space="preserve">              </w:t>
      </w:r>
      <w:r>
        <w:rPr>
          <w:rFonts w:ascii="Arial" w:hAnsi="Arial" w:cs="Arial"/>
          <w:color w:val="auto"/>
          <w:szCs w:val="21"/>
          <w:highlight w:val="none"/>
        </w:rPr>
        <w:t xml:space="preserve">        </w:t>
      </w:r>
    </w:p>
    <w:p>
      <w:pPr>
        <w:spacing w:line="540" w:lineRule="exact"/>
        <w:rPr>
          <w:rFonts w:ascii="Arial" w:hAnsi="Arial" w:cs="Arial"/>
          <w:color w:val="auto"/>
          <w:szCs w:val="21"/>
          <w:highlight w:val="none"/>
        </w:rPr>
      </w:pPr>
      <w:r>
        <w:rPr>
          <w:rFonts w:ascii="Arial" w:hAnsi="Arial" w:cs="Arial"/>
          <w:color w:val="auto"/>
          <w:szCs w:val="21"/>
          <w:highlight w:val="none"/>
        </w:rPr>
        <w:t>年龄：</w:t>
      </w:r>
      <w:r>
        <w:rPr>
          <w:rFonts w:ascii="Arial" w:hAnsi="Arial" w:cs="Arial"/>
          <w:color w:val="auto"/>
          <w:szCs w:val="21"/>
          <w:highlight w:val="none"/>
          <w:u w:val="single"/>
        </w:rPr>
        <w:t xml:space="preserve">         </w:t>
      </w:r>
      <w:r>
        <w:rPr>
          <w:rFonts w:ascii="Arial" w:hAnsi="Arial" w:cs="Arial"/>
          <w:color w:val="auto"/>
          <w:szCs w:val="21"/>
          <w:highlight w:val="none"/>
        </w:rPr>
        <w:t>；职务：</w:t>
      </w:r>
      <w:r>
        <w:rPr>
          <w:rFonts w:ascii="Arial" w:hAnsi="Arial" w:cs="Arial"/>
          <w:color w:val="auto"/>
          <w:szCs w:val="21"/>
          <w:highlight w:val="none"/>
          <w:u w:val="single"/>
        </w:rPr>
        <w:t xml:space="preserve">              </w:t>
      </w:r>
      <w:r>
        <w:rPr>
          <w:rFonts w:ascii="Arial" w:hAnsi="Arial" w:cs="Arial"/>
          <w:color w:val="auto"/>
          <w:szCs w:val="21"/>
          <w:highlight w:val="none"/>
        </w:rPr>
        <w:t>；身份证：</w:t>
      </w:r>
      <w:r>
        <w:rPr>
          <w:rFonts w:ascii="Arial" w:hAnsi="Arial" w:cs="Arial"/>
          <w:color w:val="auto"/>
          <w:szCs w:val="21"/>
          <w:highlight w:val="none"/>
          <w:u w:val="single"/>
        </w:rPr>
        <w:t xml:space="preserve">                                      </w:t>
      </w:r>
    </w:p>
    <w:p>
      <w:pPr>
        <w:spacing w:line="540" w:lineRule="exact"/>
        <w:rPr>
          <w:rFonts w:ascii="Arial" w:hAnsi="Arial" w:cs="Arial"/>
          <w:color w:val="auto"/>
          <w:szCs w:val="21"/>
          <w:highlight w:val="none"/>
        </w:rPr>
      </w:pPr>
      <w:r>
        <w:rPr>
          <w:rFonts w:ascii="Arial" w:hAnsi="Arial" w:cs="Arial"/>
          <w:color w:val="auto"/>
          <w:szCs w:val="21"/>
          <w:highlight w:val="none"/>
        </w:rPr>
        <w:t>系</w:t>
      </w:r>
      <w:r>
        <w:rPr>
          <w:rFonts w:ascii="Arial" w:hAnsi="Arial" w:cs="Arial"/>
          <w:color w:val="auto"/>
          <w:szCs w:val="21"/>
          <w:highlight w:val="none"/>
          <w:u w:val="single"/>
        </w:rPr>
        <w:t xml:space="preserve">                                      （ 供应商名称）</w:t>
      </w:r>
      <w:r>
        <w:rPr>
          <w:rFonts w:ascii="Arial" w:hAnsi="Arial" w:cs="Arial"/>
          <w:color w:val="auto"/>
          <w:szCs w:val="21"/>
          <w:highlight w:val="none"/>
        </w:rPr>
        <w:t>的法定代表人。</w:t>
      </w:r>
    </w:p>
    <w:p>
      <w:pPr>
        <w:spacing w:line="540" w:lineRule="exact"/>
        <w:rPr>
          <w:rFonts w:ascii="Arial" w:hAnsi="Arial" w:cs="Arial"/>
          <w:color w:val="auto"/>
          <w:szCs w:val="21"/>
          <w:highlight w:val="none"/>
        </w:rPr>
      </w:pPr>
    </w:p>
    <w:p>
      <w:pPr>
        <w:spacing w:line="540" w:lineRule="exact"/>
        <w:ind w:firstLine="420" w:firstLineChars="200"/>
        <w:rPr>
          <w:rFonts w:ascii="Arial" w:hAnsi="Arial" w:cs="Arial"/>
          <w:color w:val="auto"/>
          <w:szCs w:val="21"/>
          <w:highlight w:val="none"/>
        </w:rPr>
      </w:pPr>
      <w:r>
        <w:rPr>
          <w:rFonts w:ascii="Arial" w:hAnsi="Arial" w:cs="Arial"/>
          <w:color w:val="auto"/>
          <w:szCs w:val="21"/>
          <w:highlight w:val="none"/>
        </w:rPr>
        <w:t>特此证明。</w:t>
      </w:r>
    </w:p>
    <w:p>
      <w:pPr>
        <w:spacing w:line="360" w:lineRule="auto"/>
        <w:ind w:firstLine="420" w:firstLineChars="200"/>
        <w:rPr>
          <w:rFonts w:ascii="Arial" w:hAnsi="Arial" w:cs="Arial"/>
          <w:color w:val="auto"/>
          <w:szCs w:val="21"/>
          <w:highlight w:val="none"/>
        </w:rPr>
      </w:pPr>
    </w:p>
    <w:p>
      <w:pPr>
        <w:spacing w:line="360" w:lineRule="auto"/>
        <w:rPr>
          <w:rFonts w:ascii="Arial" w:hAnsi="Arial" w:cs="Arial"/>
          <w:color w:val="auto"/>
          <w:szCs w:val="21"/>
          <w:highlight w:val="none"/>
        </w:rPr>
      </w:pPr>
      <w:r>
        <w:rPr>
          <w:rFonts w:ascii="Arial" w:hAnsi="Arial" w:cs="Arial"/>
          <w:color w:val="auto"/>
          <w:szCs w:val="21"/>
          <w:highlight w:val="none"/>
        </w:rPr>
        <w:t>附：法定代表人身份证复印件</w:t>
      </w:r>
    </w:p>
    <w:p>
      <w:pPr>
        <w:spacing w:line="360" w:lineRule="auto"/>
        <w:rPr>
          <w:rFonts w:ascii="Arial" w:hAnsi="Arial" w:cs="Arial"/>
          <w:color w:val="auto"/>
          <w:szCs w:val="21"/>
          <w:highlight w:val="none"/>
        </w:rPr>
      </w:pPr>
    </w:p>
    <w:p>
      <w:pPr>
        <w:spacing w:line="360" w:lineRule="auto"/>
        <w:ind w:firstLine="4830" w:firstLineChars="2300"/>
        <w:rPr>
          <w:rFonts w:ascii="Arial" w:hAnsi="Arial" w:cs="Arial"/>
          <w:color w:val="auto"/>
          <w:szCs w:val="21"/>
          <w:highlight w:val="none"/>
        </w:rPr>
      </w:pPr>
      <w:r>
        <w:rPr>
          <w:rFonts w:ascii="Arial" w:hAnsi="Arial" w:cs="Arial"/>
          <w:color w:val="auto"/>
          <w:szCs w:val="21"/>
          <w:highlight w:val="none"/>
        </w:rPr>
        <w:t>供应商公章：</w:t>
      </w:r>
      <w:r>
        <w:rPr>
          <w:rFonts w:ascii="Arial" w:hAnsi="Arial" w:cs="Arial"/>
          <w:color w:val="auto"/>
          <w:szCs w:val="21"/>
          <w:highlight w:val="none"/>
          <w:u w:val="single"/>
        </w:rPr>
        <w:t xml:space="preserve">                </w:t>
      </w:r>
    </w:p>
    <w:p>
      <w:pPr>
        <w:spacing w:line="360" w:lineRule="auto"/>
        <w:rPr>
          <w:rFonts w:ascii="Arial" w:hAnsi="Arial" w:cs="Arial"/>
          <w:color w:val="auto"/>
          <w:szCs w:val="21"/>
          <w:highlight w:val="none"/>
        </w:rPr>
      </w:pPr>
      <w:r>
        <w:rPr>
          <w:rFonts w:ascii="Arial" w:hAnsi="Arial" w:cs="Arial"/>
          <w:color w:val="auto"/>
          <w:szCs w:val="21"/>
          <w:highlight w:val="none"/>
        </w:rPr>
        <w:t xml:space="preserve">                                                   年       月       日 </w:t>
      </w:r>
    </w:p>
    <w:p>
      <w:pPr>
        <w:spacing w:line="440" w:lineRule="exact"/>
        <w:ind w:firstLine="420"/>
        <w:rPr>
          <w:rFonts w:ascii="Arial" w:hAnsi="Arial" w:cs="Arial"/>
          <w:color w:val="auto"/>
          <w:sz w:val="20"/>
          <w:highlight w:val="none"/>
        </w:rPr>
      </w:pPr>
    </w:p>
    <w:p>
      <w:pPr>
        <w:spacing w:line="440" w:lineRule="exact"/>
        <w:rPr>
          <w:rFonts w:ascii="Arial" w:hAnsi="Arial" w:cs="Arial"/>
          <w:color w:val="auto"/>
          <w:sz w:val="24"/>
          <w:highlight w:val="none"/>
        </w:rPr>
      </w:pPr>
    </w:p>
    <w:p>
      <w:pPr>
        <w:autoSpaceDE w:val="0"/>
        <w:jc w:val="center"/>
        <w:rPr>
          <w:rFonts w:ascii="Arial" w:hAnsi="Arial" w:cs="Arial"/>
          <w:b/>
          <w:color w:val="auto"/>
          <w:sz w:val="24"/>
          <w:highlight w:val="none"/>
        </w:rPr>
      </w:pPr>
      <w:r>
        <w:rPr>
          <w:rFonts w:ascii="Arial" w:hAnsi="Arial" w:cs="Arial"/>
          <w:color w:val="auto"/>
          <w:highlight w:val="none"/>
        </w:rPr>
        <w:br w:type="page"/>
      </w:r>
      <w:r>
        <w:rPr>
          <w:rFonts w:ascii="Arial" w:hAnsi="Arial" w:cs="Arial"/>
          <w:b/>
          <w:color w:val="auto"/>
          <w:sz w:val="24"/>
          <w:highlight w:val="none"/>
        </w:rPr>
        <w:t>2.3保证金缴纳凭证</w:t>
      </w:r>
      <w:r>
        <w:rPr>
          <w:rFonts w:hint="eastAsia" w:ascii="Arial" w:hAnsi="Arial" w:cs="Arial"/>
          <w:b/>
          <w:color w:val="auto"/>
          <w:sz w:val="24"/>
          <w:highlight w:val="none"/>
        </w:rPr>
        <w:t>（必须提供）</w:t>
      </w:r>
    </w:p>
    <w:p>
      <w:pPr>
        <w:autoSpaceDE w:val="0"/>
        <w:jc w:val="center"/>
        <w:rPr>
          <w:rFonts w:ascii="Arial" w:hAnsi="Arial" w:cs="Arial"/>
          <w:color w:val="auto"/>
          <w:sz w:val="24"/>
          <w:highlight w:val="none"/>
        </w:rPr>
      </w:pPr>
    </w:p>
    <w:p>
      <w:pPr>
        <w:snapToGrid w:val="0"/>
        <w:spacing w:before="50" w:after="156" w:line="400" w:lineRule="exact"/>
        <w:jc w:val="left"/>
        <w:rPr>
          <w:rFonts w:ascii="Arial" w:hAnsi="Arial" w:cs="Arial"/>
          <w:b/>
          <w:color w:val="auto"/>
          <w:sz w:val="24"/>
          <w:highlight w:val="none"/>
        </w:rPr>
      </w:pPr>
      <w:r>
        <w:rPr>
          <w:rFonts w:ascii="Arial" w:hAnsi="Arial" w:cs="Arial"/>
          <w:b/>
          <w:color w:val="auto"/>
          <w:sz w:val="24"/>
          <w:highlight w:val="none"/>
        </w:rPr>
        <w:t>（1）保证金缴纳证明（复印件加盖公章）</w:t>
      </w:r>
    </w:p>
    <w:p>
      <w:pPr>
        <w:autoSpaceDE w:val="0"/>
        <w:jc w:val="center"/>
        <w:rPr>
          <w:rFonts w:ascii="Arial" w:hAnsi="Arial" w:cs="Arial"/>
          <w:color w:val="auto"/>
          <w:sz w:val="24"/>
          <w:highlight w:val="none"/>
        </w:rPr>
      </w:pPr>
    </w:p>
    <w:p>
      <w:pPr>
        <w:autoSpaceDE w:val="0"/>
        <w:adjustRightInd w:val="0"/>
        <w:snapToGrid w:val="0"/>
        <w:spacing w:line="276" w:lineRule="auto"/>
        <w:ind w:firstLine="5775"/>
        <w:jc w:val="center"/>
        <w:rPr>
          <w:rFonts w:ascii="Arial" w:hAnsi="Arial" w:cs="Arial"/>
          <w:color w:val="auto"/>
          <w:szCs w:val="21"/>
          <w:highlight w:val="none"/>
        </w:rPr>
      </w:pPr>
    </w:p>
    <w:p>
      <w:pPr>
        <w:autoSpaceDE w:val="0"/>
        <w:jc w:val="center"/>
        <w:rPr>
          <w:rFonts w:ascii="Arial" w:hAnsi="Arial" w:cs="Arial"/>
          <w:b/>
          <w:bCs/>
          <w:color w:val="auto"/>
          <w:sz w:val="24"/>
          <w:highlight w:val="none"/>
        </w:rPr>
      </w:pPr>
    </w:p>
    <w:p>
      <w:pPr>
        <w:autoSpaceDE w:val="0"/>
        <w:jc w:val="center"/>
        <w:rPr>
          <w:rFonts w:ascii="Arial" w:hAnsi="Arial" w:cs="Arial"/>
          <w:b/>
          <w:color w:val="auto"/>
          <w:sz w:val="24"/>
          <w:highlight w:val="none"/>
        </w:rPr>
      </w:pPr>
      <w:r>
        <w:rPr>
          <w:rFonts w:ascii="Arial" w:hAnsi="Arial" w:cs="Arial"/>
          <w:b/>
          <w:bCs/>
          <w:color w:val="auto"/>
          <w:sz w:val="24"/>
          <w:highlight w:val="none"/>
        </w:rPr>
        <w:t>2.4</w:t>
      </w:r>
      <w:r>
        <w:rPr>
          <w:rFonts w:ascii="Arial" w:hAnsi="Arial" w:cs="Arial"/>
          <w:color w:val="auto"/>
          <w:sz w:val="24"/>
          <w:highlight w:val="none"/>
        </w:rPr>
        <w:t xml:space="preserve"> </w:t>
      </w:r>
      <w:r>
        <w:rPr>
          <w:rFonts w:hint="eastAsia" w:ascii="Arial" w:hAnsi="Arial" w:cs="Arial"/>
          <w:b/>
          <w:color w:val="auto"/>
          <w:sz w:val="24"/>
          <w:highlight w:val="none"/>
        </w:rPr>
        <w:t>对项目采购需求</w:t>
      </w:r>
      <w:r>
        <w:rPr>
          <w:rFonts w:ascii="Arial" w:hAnsi="Arial" w:cs="Arial"/>
          <w:b/>
          <w:color w:val="auto"/>
          <w:sz w:val="24"/>
          <w:highlight w:val="none"/>
        </w:rPr>
        <w:t>偏离情况说明表</w:t>
      </w:r>
    </w:p>
    <w:p>
      <w:pPr>
        <w:autoSpaceDE w:val="0"/>
        <w:jc w:val="left"/>
        <w:rPr>
          <w:rFonts w:ascii="Arial" w:hAnsi="Arial" w:cs="Arial"/>
          <w:color w:val="auto"/>
          <w:highlight w:val="none"/>
        </w:rPr>
      </w:pPr>
    </w:p>
    <w:p>
      <w:pPr>
        <w:autoSpaceDE w:val="0"/>
        <w:jc w:val="left"/>
        <w:rPr>
          <w:rFonts w:ascii="Arial" w:hAnsi="Arial" w:cs="Arial"/>
          <w:color w:val="auto"/>
          <w:highlight w:val="none"/>
        </w:rPr>
      </w:pPr>
    </w:p>
    <w:p>
      <w:pPr>
        <w:autoSpaceDE w:val="0"/>
        <w:jc w:val="left"/>
        <w:rPr>
          <w:rFonts w:ascii="Arial" w:hAnsi="Arial" w:cs="Arial"/>
          <w:color w:val="auto"/>
          <w:highlight w:val="none"/>
        </w:rPr>
      </w:pPr>
      <w:r>
        <w:rPr>
          <w:rFonts w:ascii="Arial" w:hAnsi="Arial" w:cs="Arial"/>
          <w:color w:val="auto"/>
          <w:highlight w:val="none"/>
        </w:rPr>
        <w:t>项目编号：</w:t>
      </w:r>
      <w:r>
        <w:rPr>
          <w:rFonts w:ascii="Arial" w:hAnsi="Arial" w:cs="Arial"/>
          <w:color w:val="auto"/>
          <w:highlight w:val="none"/>
          <w:u w:val="single"/>
        </w:rPr>
        <w:t xml:space="preserve">                          </w:t>
      </w:r>
      <w:r>
        <w:rPr>
          <w:rFonts w:ascii="Arial" w:hAnsi="Arial" w:cs="Arial"/>
          <w:color w:val="auto"/>
          <w:highlight w:val="none"/>
        </w:rPr>
        <w:t xml:space="preserve">  </w:t>
      </w:r>
    </w:p>
    <w:p>
      <w:pPr>
        <w:autoSpaceDE w:val="0"/>
        <w:jc w:val="left"/>
        <w:rPr>
          <w:rFonts w:ascii="Arial" w:hAnsi="Arial" w:cs="Arial"/>
          <w:color w:val="auto"/>
          <w:highlight w:val="none"/>
          <w:u w:val="single"/>
        </w:rPr>
      </w:pPr>
      <w:r>
        <w:rPr>
          <w:rFonts w:ascii="Arial" w:hAnsi="Arial" w:cs="Arial"/>
          <w:color w:val="auto"/>
          <w:highlight w:val="none"/>
        </w:rPr>
        <w:t>项目名称：</w:t>
      </w:r>
      <w:r>
        <w:rPr>
          <w:rFonts w:ascii="Arial" w:hAnsi="Arial" w:cs="Arial"/>
          <w:color w:val="auto"/>
          <w:highlight w:val="none"/>
          <w:u w:val="single"/>
        </w:rPr>
        <w:t xml:space="preserve">                          </w:t>
      </w:r>
    </w:p>
    <w:tbl>
      <w:tblPr>
        <w:tblStyle w:val="58"/>
        <w:tblW w:w="0" w:type="auto"/>
        <w:tblInd w:w="108" w:type="dxa"/>
        <w:tblLayout w:type="fixed"/>
        <w:tblCellMar>
          <w:top w:w="0" w:type="dxa"/>
          <w:left w:w="0" w:type="dxa"/>
          <w:bottom w:w="0" w:type="dxa"/>
          <w:right w:w="0" w:type="dxa"/>
        </w:tblCellMar>
      </w:tblPr>
      <w:tblGrid>
        <w:gridCol w:w="1008"/>
        <w:gridCol w:w="2687"/>
        <w:gridCol w:w="2687"/>
        <w:gridCol w:w="1440"/>
        <w:gridCol w:w="1414"/>
      </w:tblGrid>
      <w:tr>
        <w:tblPrEx>
          <w:tblCellMar>
            <w:top w:w="0" w:type="dxa"/>
            <w:left w:w="0" w:type="dxa"/>
            <w:bottom w:w="0" w:type="dxa"/>
            <w:right w:w="0" w:type="dxa"/>
          </w:tblCellMar>
        </w:tblPrEx>
        <w:trPr>
          <w:trHeight w:val="447" w:hRule="atLeast"/>
        </w:trPr>
        <w:tc>
          <w:tcPr>
            <w:tcW w:w="1008"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序号</w:t>
            </w: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磋商文件要求</w:t>
            </w: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响应文件具体响应</w:t>
            </w:r>
          </w:p>
        </w:tc>
        <w:tc>
          <w:tcPr>
            <w:tcW w:w="144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响应/偏离</w:t>
            </w:r>
          </w:p>
        </w:tc>
        <w:tc>
          <w:tcPr>
            <w:tcW w:w="14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说明</w:t>
            </w:r>
          </w:p>
        </w:tc>
      </w:tr>
      <w:tr>
        <w:tblPrEx>
          <w:tblCellMar>
            <w:top w:w="0" w:type="dxa"/>
            <w:left w:w="0" w:type="dxa"/>
            <w:bottom w:w="0" w:type="dxa"/>
            <w:right w:w="0" w:type="dxa"/>
          </w:tblCellMar>
        </w:tblPrEx>
        <w:trPr>
          <w:trHeight w:val="451" w:hRule="atLeast"/>
        </w:trPr>
        <w:tc>
          <w:tcPr>
            <w:tcW w:w="1008"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1</w:t>
            </w: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4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r>
        <w:tblPrEx>
          <w:tblCellMar>
            <w:top w:w="0" w:type="dxa"/>
            <w:left w:w="0" w:type="dxa"/>
            <w:bottom w:w="0" w:type="dxa"/>
            <w:right w:w="0" w:type="dxa"/>
          </w:tblCellMar>
        </w:tblPrEx>
        <w:trPr>
          <w:trHeight w:val="473" w:hRule="atLeast"/>
        </w:trPr>
        <w:tc>
          <w:tcPr>
            <w:tcW w:w="1008"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2</w:t>
            </w: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4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r>
        <w:tblPrEx>
          <w:tblCellMar>
            <w:top w:w="0" w:type="dxa"/>
            <w:left w:w="0" w:type="dxa"/>
            <w:bottom w:w="0" w:type="dxa"/>
            <w:right w:w="0" w:type="dxa"/>
          </w:tblCellMar>
        </w:tblPrEx>
        <w:trPr>
          <w:trHeight w:val="452" w:hRule="atLeast"/>
        </w:trPr>
        <w:tc>
          <w:tcPr>
            <w:tcW w:w="1008"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3</w:t>
            </w: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4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r>
        <w:tblPrEx>
          <w:tblCellMar>
            <w:top w:w="0" w:type="dxa"/>
            <w:left w:w="0" w:type="dxa"/>
            <w:bottom w:w="0" w:type="dxa"/>
            <w:right w:w="0" w:type="dxa"/>
          </w:tblCellMar>
        </w:tblPrEx>
        <w:trPr>
          <w:trHeight w:val="457" w:hRule="atLeast"/>
        </w:trPr>
        <w:tc>
          <w:tcPr>
            <w:tcW w:w="1008"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4</w:t>
            </w: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4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r>
        <w:tblPrEx>
          <w:tblCellMar>
            <w:top w:w="0" w:type="dxa"/>
            <w:left w:w="0" w:type="dxa"/>
            <w:bottom w:w="0" w:type="dxa"/>
            <w:right w:w="0" w:type="dxa"/>
          </w:tblCellMar>
        </w:tblPrEx>
        <w:trPr>
          <w:trHeight w:val="463" w:hRule="atLeast"/>
        </w:trPr>
        <w:tc>
          <w:tcPr>
            <w:tcW w:w="1008"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5</w:t>
            </w: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4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r>
        <w:tblPrEx>
          <w:tblCellMar>
            <w:top w:w="0" w:type="dxa"/>
            <w:left w:w="0" w:type="dxa"/>
            <w:bottom w:w="0" w:type="dxa"/>
            <w:right w:w="0" w:type="dxa"/>
          </w:tblCellMar>
        </w:tblPrEx>
        <w:trPr>
          <w:trHeight w:val="455" w:hRule="atLeast"/>
        </w:trPr>
        <w:tc>
          <w:tcPr>
            <w:tcW w:w="1008"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r>
              <w:rPr>
                <w:rFonts w:ascii="Arial" w:hAnsi="Arial" w:eastAsia="宋体" w:cs="Arial"/>
                <w:color w:val="auto"/>
                <w:highlight w:val="none"/>
              </w:rPr>
              <w:t>…</w:t>
            </w: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268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4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c>
          <w:tcPr>
            <w:tcW w:w="14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utoSpaceDE w:val="0"/>
              <w:snapToGrid w:val="0"/>
              <w:spacing w:before="0" w:beforeAutospacing="0" w:after="0" w:afterAutospacing="0"/>
              <w:ind w:left="0" w:right="0"/>
              <w:jc w:val="center"/>
              <w:rPr>
                <w:rFonts w:ascii="Arial" w:hAnsi="Arial" w:eastAsia="宋体" w:cs="Arial"/>
                <w:color w:val="auto"/>
                <w:highlight w:val="none"/>
              </w:rPr>
            </w:pPr>
          </w:p>
        </w:tc>
      </w:tr>
    </w:tbl>
    <w:p>
      <w:pPr>
        <w:autoSpaceDE w:val="0"/>
        <w:jc w:val="left"/>
        <w:rPr>
          <w:rFonts w:ascii="Arial" w:hAnsi="Arial" w:cs="Arial"/>
          <w:color w:val="auto"/>
          <w:highlight w:val="none"/>
        </w:rPr>
      </w:pPr>
      <w:r>
        <w:rPr>
          <w:rFonts w:ascii="Arial" w:hAnsi="Arial" w:cs="Arial"/>
          <w:color w:val="auto"/>
          <w:highlight w:val="none"/>
        </w:rPr>
        <w:t>说明：</w:t>
      </w:r>
    </w:p>
    <w:p>
      <w:pPr>
        <w:numPr>
          <w:ilvl w:val="0"/>
          <w:numId w:val="8"/>
        </w:numPr>
        <w:autoSpaceDE w:val="0"/>
        <w:jc w:val="left"/>
        <w:rPr>
          <w:rFonts w:ascii="Arial" w:hAnsi="Arial" w:cs="Arial"/>
          <w:color w:val="auto"/>
          <w:highlight w:val="none"/>
        </w:rPr>
      </w:pPr>
      <w:r>
        <w:rPr>
          <w:rFonts w:ascii="Arial" w:hAnsi="Arial" w:cs="Arial"/>
          <w:color w:val="auto"/>
          <w:highlight w:val="none"/>
        </w:rPr>
        <w:t>应对照磋商文件"第二章</w:t>
      </w:r>
      <w:r>
        <w:rPr>
          <w:rFonts w:hint="eastAsia" w:ascii="Arial" w:hAnsi="Arial" w:cs="Arial"/>
          <w:color w:val="auto"/>
          <w:highlight w:val="none"/>
        </w:rPr>
        <w:t xml:space="preserve"> </w:t>
      </w:r>
      <w:r>
        <w:rPr>
          <w:rFonts w:ascii="Arial" w:hAnsi="Arial" w:cs="Arial"/>
          <w:color w:val="auto"/>
          <w:highlight w:val="none"/>
        </w:rPr>
        <w:t>项目采购需求"逐条说明所提供服务已对磋商文件的技术规格做出了实质性的响应，并申明与技术规格条文的响应和偏离。</w:t>
      </w:r>
    </w:p>
    <w:p>
      <w:pPr>
        <w:autoSpaceDE w:val="0"/>
        <w:jc w:val="left"/>
        <w:rPr>
          <w:rFonts w:ascii="Arial" w:hAnsi="Arial" w:cs="Arial"/>
          <w:color w:val="auto"/>
          <w:highlight w:val="none"/>
        </w:rPr>
      </w:pPr>
      <w:r>
        <w:rPr>
          <w:rFonts w:ascii="Arial" w:hAnsi="Arial" w:cs="Arial"/>
          <w:color w:val="auto"/>
          <w:highlight w:val="none"/>
        </w:rPr>
        <w:t>2、供应商应对照磋商文件要求在“偏离情况”栏注明“正偏离”、“负偏离”或“无偏离” 。响应</w:t>
      </w:r>
      <w:r>
        <w:rPr>
          <w:rFonts w:hint="eastAsia" w:ascii="Arial" w:hAnsi="Arial" w:cs="Arial"/>
          <w:color w:val="auto"/>
          <w:highlight w:val="none"/>
        </w:rPr>
        <w:t>内容</w:t>
      </w:r>
      <w:r>
        <w:rPr>
          <w:rFonts w:ascii="Arial" w:hAnsi="Arial" w:cs="Arial"/>
          <w:color w:val="auto"/>
          <w:highlight w:val="none"/>
        </w:rPr>
        <w:t>与采购要求相同的为无偏离，</w:t>
      </w:r>
      <w:r>
        <w:rPr>
          <w:rFonts w:hint="eastAsia" w:ascii="Arial" w:hAnsi="Arial" w:cs="Arial"/>
          <w:color w:val="auto"/>
          <w:highlight w:val="none"/>
        </w:rPr>
        <w:t>响应内容</w:t>
      </w:r>
      <w:r>
        <w:rPr>
          <w:rFonts w:ascii="Arial" w:hAnsi="Arial" w:cs="Arial"/>
          <w:color w:val="auto"/>
          <w:highlight w:val="none"/>
        </w:rPr>
        <w:t>高于采购要求的为正偏离，低于采购要求的为负偏离。</w:t>
      </w:r>
    </w:p>
    <w:p>
      <w:pPr>
        <w:autoSpaceDE w:val="0"/>
        <w:jc w:val="left"/>
        <w:rPr>
          <w:rFonts w:ascii="Arial" w:hAnsi="Arial" w:cs="Arial"/>
          <w:color w:val="auto"/>
          <w:highlight w:val="none"/>
        </w:rPr>
      </w:pPr>
    </w:p>
    <w:p>
      <w:pPr>
        <w:autoSpaceDE w:val="0"/>
        <w:ind w:firstLine="420"/>
        <w:jc w:val="left"/>
        <w:rPr>
          <w:rFonts w:ascii="Arial" w:hAnsi="Arial" w:cs="Arial"/>
          <w:color w:val="auto"/>
          <w:highlight w:val="none"/>
          <w:u w:val="single"/>
        </w:rPr>
      </w:pPr>
    </w:p>
    <w:p>
      <w:pPr>
        <w:autoSpaceDE w:val="0"/>
        <w:ind w:firstLine="420"/>
        <w:jc w:val="left"/>
        <w:rPr>
          <w:rFonts w:ascii="Arial" w:hAnsi="Arial" w:cs="Arial"/>
          <w:b/>
          <w:color w:val="auto"/>
          <w:highlight w:val="none"/>
        </w:rPr>
      </w:pPr>
      <w:r>
        <w:rPr>
          <w:rFonts w:ascii="Arial" w:hAnsi="Arial" w:cs="Arial"/>
          <w:color w:val="auto"/>
          <w:highlight w:val="none"/>
        </w:rPr>
        <w:t>供应商名称(盖章) ：</w:t>
      </w:r>
      <w:r>
        <w:rPr>
          <w:rFonts w:ascii="Arial" w:hAnsi="Arial" w:cs="Arial"/>
          <w:color w:val="auto"/>
          <w:highlight w:val="none"/>
          <w:u w:val="single"/>
        </w:rPr>
        <w:t xml:space="preserve">                                          </w:t>
      </w:r>
      <w:r>
        <w:rPr>
          <w:rFonts w:ascii="Arial" w:hAnsi="Arial" w:cs="Arial"/>
          <w:b/>
          <w:color w:val="auto"/>
          <w:highlight w:val="none"/>
        </w:rPr>
        <w:t xml:space="preserve">  </w:t>
      </w:r>
    </w:p>
    <w:p>
      <w:pPr>
        <w:autoSpaceDE w:val="0"/>
        <w:ind w:firstLine="330"/>
        <w:jc w:val="left"/>
        <w:rPr>
          <w:rFonts w:ascii="Arial" w:hAnsi="Arial" w:cs="Arial"/>
          <w:color w:val="auto"/>
          <w:sz w:val="22"/>
          <w:highlight w:val="none"/>
        </w:rPr>
      </w:pPr>
    </w:p>
    <w:p>
      <w:pPr>
        <w:autoSpaceDE w:val="0"/>
        <w:ind w:firstLine="420"/>
        <w:jc w:val="left"/>
        <w:rPr>
          <w:rFonts w:ascii="Arial" w:hAnsi="Arial" w:cs="Arial"/>
          <w:color w:val="auto"/>
          <w:highlight w:val="none"/>
          <w:u w:val="single"/>
        </w:rPr>
      </w:pPr>
      <w:r>
        <w:rPr>
          <w:rFonts w:ascii="Arial" w:hAnsi="Arial" w:cs="Arial"/>
          <w:color w:val="auto"/>
          <w:highlight w:val="none"/>
        </w:rPr>
        <w:t>法定代表人或法定代表人授权代表(签字) ：</w:t>
      </w:r>
      <w:r>
        <w:rPr>
          <w:rFonts w:ascii="Arial" w:hAnsi="Arial" w:cs="Arial"/>
          <w:color w:val="auto"/>
          <w:highlight w:val="none"/>
          <w:u w:val="single"/>
        </w:rPr>
        <w:t xml:space="preserve">                           </w:t>
      </w:r>
    </w:p>
    <w:p>
      <w:pPr>
        <w:spacing w:line="440" w:lineRule="exact"/>
        <w:ind w:firstLine="4830"/>
        <w:rPr>
          <w:rFonts w:ascii="Arial" w:hAnsi="Arial" w:cs="Arial"/>
          <w:color w:val="auto"/>
          <w:highlight w:val="none"/>
        </w:rPr>
      </w:pPr>
    </w:p>
    <w:p>
      <w:pPr>
        <w:autoSpaceDE w:val="0"/>
        <w:ind w:firstLine="1995"/>
        <w:jc w:val="left"/>
        <w:rPr>
          <w:rFonts w:ascii="Arial" w:hAnsi="Arial" w:cs="Arial"/>
          <w:color w:val="auto"/>
          <w:highlight w:val="none"/>
        </w:rPr>
      </w:pPr>
    </w:p>
    <w:p>
      <w:pPr>
        <w:autoSpaceDE w:val="0"/>
        <w:ind w:firstLine="5040"/>
        <w:jc w:val="left"/>
        <w:rPr>
          <w:rFonts w:ascii="Arial" w:hAnsi="Arial" w:cs="Arial"/>
          <w:color w:val="auto"/>
          <w:highlight w:val="none"/>
        </w:rPr>
      </w:pPr>
    </w:p>
    <w:p>
      <w:pPr>
        <w:autoSpaceDE w:val="0"/>
        <w:ind w:firstLine="5775"/>
        <w:jc w:val="right"/>
        <w:rPr>
          <w:rFonts w:ascii="Arial" w:hAnsi="Arial" w:cs="Arial"/>
          <w:color w:val="auto"/>
          <w:highlight w:val="none"/>
        </w:rPr>
      </w:pPr>
      <w:r>
        <w:rPr>
          <w:rFonts w:ascii="Arial" w:hAnsi="Arial" w:cs="Arial"/>
          <w:color w:val="auto"/>
          <w:highlight w:val="none"/>
          <w:u w:val="single"/>
        </w:rPr>
        <w:t xml:space="preserve">       </w:t>
      </w:r>
      <w:r>
        <w:rPr>
          <w:rFonts w:ascii="Arial" w:hAnsi="Arial" w:cs="Arial"/>
          <w:color w:val="auto"/>
          <w:highlight w:val="none"/>
        </w:rPr>
        <w:t>年</w:t>
      </w:r>
      <w:r>
        <w:rPr>
          <w:rFonts w:ascii="Arial" w:hAnsi="Arial" w:cs="Arial"/>
          <w:color w:val="auto"/>
          <w:highlight w:val="none"/>
          <w:u w:val="single"/>
        </w:rPr>
        <w:t xml:space="preserve">    </w:t>
      </w:r>
      <w:r>
        <w:rPr>
          <w:rFonts w:ascii="Arial" w:hAnsi="Arial" w:cs="Arial"/>
          <w:color w:val="auto"/>
          <w:highlight w:val="none"/>
        </w:rPr>
        <w:t>月</w:t>
      </w:r>
      <w:r>
        <w:rPr>
          <w:rFonts w:ascii="Arial" w:hAnsi="Arial" w:cs="Arial"/>
          <w:color w:val="auto"/>
          <w:highlight w:val="none"/>
          <w:u w:val="single"/>
        </w:rPr>
        <w:t xml:space="preserve">     </w:t>
      </w:r>
      <w:r>
        <w:rPr>
          <w:rFonts w:ascii="Arial" w:hAnsi="Arial" w:cs="Arial"/>
          <w:color w:val="auto"/>
          <w:highlight w:val="none"/>
        </w:rPr>
        <w:t>日</w:t>
      </w:r>
    </w:p>
    <w:p>
      <w:pPr>
        <w:autoSpaceDE w:val="0"/>
        <w:rPr>
          <w:rFonts w:ascii="Arial" w:hAnsi="Arial" w:cs="Arial"/>
          <w:b/>
          <w:color w:val="auto"/>
          <w:sz w:val="24"/>
          <w:highlight w:val="none"/>
        </w:rPr>
      </w:pPr>
      <w:r>
        <w:rPr>
          <w:rFonts w:ascii="Arial" w:hAnsi="Arial" w:cs="Arial"/>
          <w:b/>
          <w:color w:val="auto"/>
          <w:sz w:val="24"/>
          <w:highlight w:val="none"/>
        </w:rPr>
        <w:br w:type="page"/>
      </w:r>
    </w:p>
    <w:p>
      <w:pPr>
        <w:autoSpaceDE w:val="0"/>
        <w:rPr>
          <w:rFonts w:ascii="Arial" w:hAnsi="Arial" w:cs="Arial"/>
          <w:b/>
          <w:color w:val="auto"/>
          <w:sz w:val="24"/>
          <w:highlight w:val="none"/>
        </w:rPr>
      </w:pPr>
      <w:r>
        <w:rPr>
          <w:rFonts w:ascii="Arial" w:hAnsi="Arial" w:cs="Arial"/>
          <w:b/>
          <w:color w:val="auto"/>
          <w:sz w:val="24"/>
          <w:highlight w:val="none"/>
        </w:rPr>
        <w:t>2.5</w:t>
      </w:r>
      <w:r>
        <w:rPr>
          <w:rFonts w:hint="eastAsia" w:ascii="Arial" w:hAnsi="Arial" w:cs="Arial"/>
          <w:b/>
          <w:color w:val="auto"/>
          <w:sz w:val="24"/>
          <w:highlight w:val="none"/>
        </w:rPr>
        <w:t xml:space="preserve"> 第二章 项目采购需求中要求提供的相关证明材料</w:t>
      </w:r>
      <w:r>
        <w:rPr>
          <w:rFonts w:ascii="Arial" w:hAnsi="Arial" w:cs="Arial"/>
          <w:b/>
          <w:color w:val="auto"/>
          <w:sz w:val="24"/>
          <w:highlight w:val="none"/>
        </w:rPr>
        <w:t>（格式自拟）</w:t>
      </w:r>
    </w:p>
    <w:p>
      <w:pPr>
        <w:autoSpaceDE w:val="0"/>
        <w:rPr>
          <w:rFonts w:ascii="Arial" w:hAnsi="Arial" w:cs="Arial"/>
          <w:b/>
          <w:color w:val="auto"/>
          <w:sz w:val="24"/>
          <w:highlight w:val="none"/>
        </w:rPr>
      </w:pPr>
    </w:p>
    <w:p>
      <w:pPr>
        <w:autoSpaceDE w:val="0"/>
        <w:rPr>
          <w:rFonts w:ascii="Arial" w:hAnsi="Arial" w:cs="Arial"/>
          <w:b/>
          <w:color w:val="auto"/>
          <w:sz w:val="24"/>
          <w:highlight w:val="none"/>
        </w:rPr>
      </w:pPr>
    </w:p>
    <w:p>
      <w:pPr>
        <w:autoSpaceDE w:val="0"/>
        <w:rPr>
          <w:rFonts w:hint="eastAsia" w:ascii="Arial" w:hAnsi="Arial" w:cs="Arial"/>
          <w:b/>
          <w:color w:val="auto"/>
          <w:sz w:val="24"/>
          <w:highlight w:val="none"/>
        </w:rPr>
      </w:pPr>
      <w:r>
        <w:rPr>
          <w:rFonts w:ascii="Arial" w:hAnsi="Arial" w:cs="Arial"/>
          <w:b/>
          <w:color w:val="auto"/>
          <w:sz w:val="24"/>
          <w:highlight w:val="none"/>
        </w:rPr>
        <w:t>2.6</w:t>
      </w:r>
      <w:r>
        <w:rPr>
          <w:rFonts w:hint="eastAsia" w:ascii="Arial" w:hAnsi="Arial" w:cs="Arial"/>
          <w:b/>
          <w:color w:val="auto"/>
          <w:sz w:val="24"/>
          <w:highlight w:val="none"/>
        </w:rPr>
        <w:t>中药饮片质量保障方案</w:t>
      </w:r>
      <w:r>
        <w:rPr>
          <w:rFonts w:ascii="Arial" w:hAnsi="Arial" w:cs="Arial"/>
          <w:b/>
          <w:color w:val="auto"/>
          <w:sz w:val="24"/>
          <w:highlight w:val="none"/>
        </w:rPr>
        <w:t>（格式自拟）</w:t>
      </w:r>
    </w:p>
    <w:p>
      <w:pPr>
        <w:autoSpaceDE w:val="0"/>
        <w:jc w:val="center"/>
        <w:rPr>
          <w:rFonts w:ascii="Arial" w:hAnsi="Arial" w:cs="Arial"/>
          <w:b/>
          <w:color w:val="auto"/>
          <w:sz w:val="24"/>
          <w:highlight w:val="none"/>
        </w:rPr>
      </w:pPr>
    </w:p>
    <w:p>
      <w:pPr>
        <w:autoSpaceDE w:val="0"/>
        <w:rPr>
          <w:rFonts w:ascii="Arial" w:hAnsi="Arial" w:cs="Arial"/>
          <w:b/>
          <w:color w:val="auto"/>
          <w:sz w:val="24"/>
          <w:highlight w:val="none"/>
        </w:rPr>
      </w:pPr>
      <w:r>
        <w:rPr>
          <w:rFonts w:hint="eastAsia" w:ascii="Arial" w:hAnsi="Arial" w:cs="Arial"/>
          <w:b/>
          <w:color w:val="auto"/>
          <w:sz w:val="24"/>
          <w:highlight w:val="none"/>
          <w:lang w:val="en-US" w:eastAsia="zh-CN"/>
        </w:rPr>
        <w:t>2.7</w:t>
      </w:r>
      <w:r>
        <w:rPr>
          <w:rFonts w:hint="eastAsia" w:ascii="Arial" w:hAnsi="Arial" w:cs="Arial"/>
          <w:b/>
          <w:color w:val="auto"/>
          <w:sz w:val="24"/>
          <w:highlight w:val="none"/>
        </w:rPr>
        <w:t>代煎质量控制方案</w:t>
      </w:r>
      <w:r>
        <w:rPr>
          <w:rFonts w:ascii="Arial" w:hAnsi="Arial" w:cs="Arial"/>
          <w:b/>
          <w:color w:val="auto"/>
          <w:sz w:val="24"/>
          <w:highlight w:val="none"/>
        </w:rPr>
        <w:t>（格式自拟）</w:t>
      </w:r>
    </w:p>
    <w:p>
      <w:pPr>
        <w:autoSpaceDE w:val="0"/>
        <w:rPr>
          <w:rFonts w:ascii="Arial" w:hAnsi="Arial" w:cs="Arial"/>
          <w:b/>
          <w:color w:val="auto"/>
          <w:sz w:val="24"/>
          <w:highlight w:val="none"/>
        </w:rPr>
      </w:pPr>
    </w:p>
    <w:p>
      <w:pPr>
        <w:autoSpaceDE w:val="0"/>
        <w:rPr>
          <w:rFonts w:ascii="Arial" w:hAnsi="Arial" w:cs="Arial"/>
          <w:b/>
          <w:color w:val="auto"/>
          <w:sz w:val="24"/>
          <w:highlight w:val="none"/>
        </w:rPr>
      </w:pPr>
    </w:p>
    <w:p>
      <w:pPr>
        <w:autoSpaceDE w:val="0"/>
        <w:rPr>
          <w:rFonts w:hint="eastAsia" w:ascii="Arial" w:hAnsi="Arial" w:cs="Arial"/>
          <w:b/>
          <w:color w:val="auto"/>
          <w:sz w:val="24"/>
          <w:highlight w:val="none"/>
        </w:rPr>
      </w:pPr>
      <w:r>
        <w:rPr>
          <w:rFonts w:ascii="Arial" w:hAnsi="Arial" w:cs="Arial"/>
          <w:b/>
          <w:color w:val="auto"/>
          <w:sz w:val="24"/>
          <w:highlight w:val="none"/>
        </w:rPr>
        <w:t>2.</w:t>
      </w:r>
      <w:r>
        <w:rPr>
          <w:rFonts w:hint="eastAsia" w:ascii="Arial" w:hAnsi="Arial" w:cs="Arial"/>
          <w:b/>
          <w:color w:val="auto"/>
          <w:sz w:val="24"/>
          <w:highlight w:val="none"/>
          <w:lang w:val="en-US" w:eastAsia="zh-CN"/>
        </w:rPr>
        <w:t>8</w:t>
      </w:r>
      <w:r>
        <w:rPr>
          <w:rFonts w:hint="eastAsia" w:ascii="Arial" w:hAnsi="Arial" w:cs="Arial"/>
          <w:b/>
          <w:color w:val="auto"/>
          <w:sz w:val="24"/>
          <w:highlight w:val="none"/>
        </w:rPr>
        <w:t>服务能力证明材料</w:t>
      </w:r>
      <w:r>
        <w:rPr>
          <w:rFonts w:ascii="Arial" w:hAnsi="Arial" w:cs="Arial"/>
          <w:b/>
          <w:color w:val="auto"/>
          <w:sz w:val="24"/>
          <w:highlight w:val="none"/>
        </w:rPr>
        <w:t>（格式自拟）</w:t>
      </w:r>
    </w:p>
    <w:p>
      <w:pPr>
        <w:autoSpaceDE w:val="0"/>
        <w:rPr>
          <w:rFonts w:hint="eastAsia" w:ascii="Arial" w:hAnsi="Arial" w:cs="Arial"/>
          <w:b/>
          <w:color w:val="auto"/>
          <w:sz w:val="24"/>
          <w:highlight w:val="none"/>
        </w:rPr>
      </w:pPr>
    </w:p>
    <w:p>
      <w:pPr>
        <w:autoSpaceDE w:val="0"/>
        <w:ind w:firstLine="482" w:firstLineChars="200"/>
        <w:rPr>
          <w:rFonts w:hint="eastAsia" w:ascii="Arial" w:hAnsi="Arial" w:cs="Arial"/>
          <w:b/>
          <w:color w:val="auto"/>
          <w:sz w:val="24"/>
          <w:highlight w:val="none"/>
        </w:rPr>
      </w:pPr>
      <w:r>
        <w:rPr>
          <w:rFonts w:hint="eastAsia" w:ascii="Arial" w:hAnsi="Arial" w:cs="Arial"/>
          <w:b/>
          <w:color w:val="auto"/>
          <w:sz w:val="24"/>
          <w:highlight w:val="none"/>
        </w:rPr>
        <w:t>2.7.1配送方案</w:t>
      </w:r>
      <w:r>
        <w:rPr>
          <w:rFonts w:ascii="Arial" w:hAnsi="Arial" w:cs="Arial"/>
          <w:b/>
          <w:color w:val="auto"/>
          <w:sz w:val="24"/>
          <w:highlight w:val="none"/>
        </w:rPr>
        <w:t>（格式自拟）</w:t>
      </w:r>
    </w:p>
    <w:p>
      <w:pPr>
        <w:autoSpaceDE w:val="0"/>
        <w:ind w:firstLine="482" w:firstLineChars="200"/>
        <w:rPr>
          <w:rFonts w:hint="eastAsia" w:ascii="Arial" w:hAnsi="Arial" w:cs="Arial"/>
          <w:b/>
          <w:color w:val="auto"/>
          <w:sz w:val="24"/>
          <w:highlight w:val="none"/>
        </w:rPr>
      </w:pPr>
    </w:p>
    <w:p>
      <w:pPr>
        <w:autoSpaceDE w:val="0"/>
        <w:ind w:firstLine="482" w:firstLineChars="200"/>
        <w:rPr>
          <w:rFonts w:hint="default" w:ascii="Arial" w:hAnsi="Arial" w:eastAsia="宋体" w:cs="Arial"/>
          <w:b/>
          <w:color w:val="auto"/>
          <w:sz w:val="24"/>
          <w:highlight w:val="none"/>
          <w:lang w:val="en-US" w:eastAsia="zh-CN"/>
        </w:rPr>
      </w:pPr>
      <w:r>
        <w:rPr>
          <w:rFonts w:hint="eastAsia" w:ascii="Arial" w:hAnsi="Arial" w:eastAsia="宋体" w:cs="Arial"/>
          <w:b/>
          <w:color w:val="auto"/>
          <w:sz w:val="24"/>
          <w:highlight w:val="none"/>
          <w:lang w:val="en-US" w:eastAsia="zh-CN"/>
        </w:rPr>
        <w:t>2.7.2</w:t>
      </w:r>
      <w:r>
        <w:rPr>
          <w:rFonts w:hint="eastAsia" w:ascii="Arial" w:hAnsi="Arial" w:eastAsia="宋体" w:cs="Arial"/>
          <w:b/>
          <w:color w:val="auto"/>
          <w:sz w:val="24"/>
          <w:highlight w:val="none"/>
          <w:lang w:eastAsia="zh-CN"/>
        </w:rPr>
        <w:t>距离</w:t>
      </w:r>
      <w:r>
        <w:rPr>
          <w:rFonts w:hint="eastAsia" w:ascii="Arial" w:hAnsi="Arial" w:eastAsia="宋体" w:cs="Arial"/>
          <w:b/>
          <w:color w:val="auto"/>
          <w:sz w:val="24"/>
          <w:highlight w:val="none"/>
          <w:lang w:val="en-US" w:eastAsia="zh-CN"/>
        </w:rPr>
        <w:t>位置</w:t>
      </w:r>
      <w:r>
        <w:rPr>
          <w:rFonts w:hint="eastAsia" w:ascii="Arial" w:hAnsi="Arial" w:eastAsia="宋体" w:cs="Arial"/>
          <w:b/>
          <w:color w:val="auto"/>
          <w:sz w:val="24"/>
          <w:highlight w:val="none"/>
        </w:rPr>
        <w:t>（格式自拟）</w:t>
      </w:r>
    </w:p>
    <w:p>
      <w:pPr>
        <w:autoSpaceDE w:val="0"/>
        <w:ind w:firstLine="482" w:firstLineChars="200"/>
        <w:rPr>
          <w:rFonts w:hint="eastAsia" w:ascii="Arial" w:hAnsi="Arial" w:cs="Arial"/>
          <w:b/>
          <w:color w:val="auto"/>
          <w:sz w:val="24"/>
          <w:highlight w:val="none"/>
        </w:rPr>
      </w:pPr>
    </w:p>
    <w:p>
      <w:pPr>
        <w:autoSpaceDE w:val="0"/>
        <w:ind w:firstLine="482" w:firstLineChars="200"/>
        <w:rPr>
          <w:rFonts w:ascii="Arial" w:hAnsi="Arial" w:cs="Arial"/>
          <w:b/>
          <w:color w:val="auto"/>
          <w:sz w:val="24"/>
          <w:highlight w:val="none"/>
        </w:rPr>
      </w:pPr>
      <w:r>
        <w:rPr>
          <w:rFonts w:hint="eastAsia" w:ascii="Arial" w:hAnsi="Arial" w:cs="Arial"/>
          <w:b/>
          <w:color w:val="auto"/>
          <w:sz w:val="24"/>
          <w:highlight w:val="none"/>
        </w:rPr>
        <w:t>2.7.</w:t>
      </w:r>
      <w:r>
        <w:rPr>
          <w:rFonts w:hint="eastAsia" w:ascii="Arial" w:hAnsi="Arial" w:cs="Arial"/>
          <w:b/>
          <w:color w:val="auto"/>
          <w:sz w:val="24"/>
          <w:highlight w:val="none"/>
          <w:lang w:val="en-US" w:eastAsia="zh-CN"/>
        </w:rPr>
        <w:t>3</w:t>
      </w:r>
      <w:r>
        <w:rPr>
          <w:rFonts w:hint="eastAsia" w:ascii="Arial" w:hAnsi="Arial" w:cs="Arial"/>
          <w:b/>
          <w:color w:val="auto"/>
          <w:sz w:val="24"/>
          <w:highlight w:val="none"/>
        </w:rPr>
        <w:t>应急保障方案</w:t>
      </w:r>
      <w:r>
        <w:rPr>
          <w:rFonts w:ascii="Arial" w:hAnsi="Arial" w:cs="Arial"/>
          <w:b/>
          <w:color w:val="auto"/>
          <w:sz w:val="24"/>
          <w:highlight w:val="none"/>
        </w:rPr>
        <w:t>（格式自拟）</w:t>
      </w:r>
    </w:p>
    <w:p>
      <w:pPr>
        <w:autoSpaceDE w:val="0"/>
        <w:rPr>
          <w:rFonts w:hint="eastAsia" w:ascii="Arial" w:hAnsi="Arial" w:cs="Arial"/>
          <w:b/>
          <w:color w:val="auto"/>
          <w:sz w:val="24"/>
          <w:highlight w:val="none"/>
        </w:rPr>
      </w:pPr>
    </w:p>
    <w:p>
      <w:pPr>
        <w:autoSpaceDE w:val="0"/>
        <w:rPr>
          <w:rFonts w:ascii="Arial" w:hAnsi="Arial" w:cs="Arial"/>
          <w:b/>
          <w:color w:val="auto"/>
          <w:sz w:val="24"/>
          <w:highlight w:val="none"/>
        </w:rPr>
      </w:pPr>
    </w:p>
    <w:p>
      <w:pPr>
        <w:autoSpaceDE w:val="0"/>
        <w:rPr>
          <w:rFonts w:hint="eastAsia" w:ascii="Arial" w:hAnsi="Arial" w:cs="Arial"/>
          <w:b/>
          <w:color w:val="auto"/>
          <w:sz w:val="24"/>
          <w:highlight w:val="none"/>
        </w:rPr>
      </w:pPr>
      <w:r>
        <w:rPr>
          <w:rFonts w:hint="eastAsia" w:ascii="Arial" w:hAnsi="Arial" w:cs="Arial"/>
          <w:b/>
          <w:color w:val="auto"/>
          <w:sz w:val="24"/>
          <w:highlight w:val="none"/>
        </w:rPr>
        <w:t>2.</w:t>
      </w:r>
      <w:r>
        <w:rPr>
          <w:rFonts w:hint="eastAsia" w:ascii="Arial" w:hAnsi="Arial" w:cs="Arial"/>
          <w:b/>
          <w:color w:val="auto"/>
          <w:sz w:val="24"/>
          <w:highlight w:val="none"/>
          <w:lang w:val="en-US" w:eastAsia="zh-CN"/>
        </w:rPr>
        <w:t>9</w:t>
      </w:r>
      <w:r>
        <w:rPr>
          <w:rFonts w:hint="eastAsia" w:ascii="Arial" w:hAnsi="Arial" w:cs="Arial"/>
          <w:b/>
          <w:color w:val="auto"/>
          <w:sz w:val="24"/>
          <w:highlight w:val="none"/>
        </w:rPr>
        <w:t xml:space="preserve"> 售后服务实施方案</w:t>
      </w:r>
      <w:r>
        <w:rPr>
          <w:rFonts w:ascii="Arial" w:hAnsi="Arial" w:cs="Arial"/>
          <w:b/>
          <w:color w:val="auto"/>
          <w:sz w:val="24"/>
          <w:highlight w:val="none"/>
        </w:rPr>
        <w:t>（格式自拟）</w:t>
      </w:r>
    </w:p>
    <w:p>
      <w:pPr>
        <w:autoSpaceDE w:val="0"/>
        <w:rPr>
          <w:rFonts w:hint="eastAsia" w:ascii="Arial" w:hAnsi="Arial" w:cs="Arial"/>
          <w:b/>
          <w:color w:val="auto"/>
          <w:sz w:val="24"/>
          <w:highlight w:val="none"/>
        </w:rPr>
      </w:pPr>
    </w:p>
    <w:p>
      <w:pPr>
        <w:autoSpaceDE w:val="0"/>
        <w:rPr>
          <w:rFonts w:hint="eastAsia" w:ascii="Arial" w:hAnsi="Arial" w:cs="Arial"/>
          <w:b/>
          <w:color w:val="auto"/>
          <w:sz w:val="24"/>
          <w:highlight w:val="none"/>
        </w:rPr>
      </w:pPr>
    </w:p>
    <w:p>
      <w:pPr>
        <w:autoSpaceDE w:val="0"/>
        <w:rPr>
          <w:rFonts w:hint="eastAsia" w:ascii="Arial" w:hAnsi="Arial" w:cs="Arial"/>
          <w:b/>
          <w:color w:val="auto"/>
          <w:sz w:val="24"/>
          <w:highlight w:val="none"/>
        </w:rPr>
      </w:pPr>
      <w:r>
        <w:rPr>
          <w:rFonts w:hint="eastAsia" w:ascii="Arial" w:hAnsi="Arial" w:cs="Arial"/>
          <w:b/>
          <w:color w:val="auto"/>
          <w:sz w:val="24"/>
          <w:highlight w:val="none"/>
        </w:rPr>
        <w:t>2.</w:t>
      </w:r>
      <w:r>
        <w:rPr>
          <w:rFonts w:hint="eastAsia" w:ascii="Arial" w:hAnsi="Arial" w:cs="Arial"/>
          <w:b/>
          <w:color w:val="auto"/>
          <w:sz w:val="24"/>
          <w:highlight w:val="none"/>
          <w:lang w:val="en-US" w:eastAsia="zh-CN"/>
        </w:rPr>
        <w:t>10</w:t>
      </w:r>
      <w:r>
        <w:rPr>
          <w:rFonts w:hint="eastAsia" w:ascii="Arial" w:hAnsi="Arial" w:cs="Arial"/>
          <w:b/>
          <w:color w:val="auto"/>
          <w:sz w:val="24"/>
          <w:highlight w:val="none"/>
        </w:rPr>
        <w:t>业绩证明材料</w:t>
      </w:r>
      <w:r>
        <w:rPr>
          <w:rFonts w:ascii="Arial" w:hAnsi="Arial" w:cs="Arial"/>
          <w:b/>
          <w:color w:val="auto"/>
          <w:sz w:val="24"/>
          <w:highlight w:val="none"/>
        </w:rPr>
        <w:t>（格式自拟）</w:t>
      </w:r>
    </w:p>
    <w:p>
      <w:pPr>
        <w:autoSpaceDE w:val="0"/>
        <w:rPr>
          <w:rFonts w:ascii="Arial" w:hAnsi="Arial" w:cs="Arial"/>
          <w:color w:val="auto"/>
          <w:highlight w:val="none"/>
        </w:rPr>
      </w:pPr>
    </w:p>
    <w:p>
      <w:pPr>
        <w:rPr>
          <w:rFonts w:ascii="Arial" w:hAnsi="Arial" w:cs="Arial"/>
          <w:color w:val="auto"/>
          <w:sz w:val="20"/>
          <w:highlight w:val="none"/>
        </w:rPr>
      </w:pPr>
    </w:p>
    <w:p>
      <w:pPr>
        <w:autoSpaceDE w:val="0"/>
        <w:rPr>
          <w:rFonts w:ascii="Arial" w:hAnsi="Arial" w:cs="Arial"/>
          <w:b/>
          <w:color w:val="auto"/>
          <w:sz w:val="24"/>
          <w:highlight w:val="none"/>
        </w:rPr>
      </w:pPr>
      <w:r>
        <w:rPr>
          <w:rFonts w:hint="eastAsia" w:ascii="Arial" w:hAnsi="Arial" w:cs="Arial"/>
          <w:b/>
          <w:color w:val="auto"/>
          <w:sz w:val="24"/>
          <w:highlight w:val="none"/>
        </w:rPr>
        <w:t>2.1</w:t>
      </w:r>
      <w:r>
        <w:rPr>
          <w:rFonts w:hint="eastAsia" w:ascii="Arial" w:hAnsi="Arial" w:cs="Arial"/>
          <w:b/>
          <w:color w:val="auto"/>
          <w:sz w:val="24"/>
          <w:highlight w:val="none"/>
          <w:lang w:val="en-US" w:eastAsia="zh-CN"/>
        </w:rPr>
        <w:t>1</w:t>
      </w:r>
      <w:r>
        <w:rPr>
          <w:rFonts w:hint="eastAsia" w:ascii="Arial" w:hAnsi="Arial" w:cs="Arial"/>
          <w:b/>
          <w:color w:val="auto"/>
          <w:sz w:val="24"/>
          <w:highlight w:val="none"/>
        </w:rPr>
        <w:t>其他供应商认为需要提供的其他材料等</w:t>
      </w:r>
      <w:r>
        <w:rPr>
          <w:rFonts w:ascii="Arial" w:hAnsi="Arial" w:cs="Arial"/>
          <w:b/>
          <w:color w:val="auto"/>
          <w:sz w:val="24"/>
          <w:highlight w:val="none"/>
        </w:rPr>
        <w:t>（格式自拟）</w:t>
      </w:r>
      <w:r>
        <w:rPr>
          <w:rFonts w:hint="eastAsia" w:ascii="Arial" w:hAnsi="Arial" w:cs="Arial"/>
          <w:b/>
          <w:color w:val="auto"/>
          <w:sz w:val="24"/>
          <w:highlight w:val="none"/>
        </w:rPr>
        <w:t>。</w:t>
      </w:r>
    </w:p>
    <w:p>
      <w:pPr>
        <w:snapToGrid w:val="0"/>
        <w:spacing w:before="50" w:after="50" w:line="440" w:lineRule="exact"/>
        <w:jc w:val="center"/>
        <w:rPr>
          <w:rFonts w:ascii="Arial" w:hAnsi="Arial" w:cs="Arial"/>
          <w:b/>
          <w:color w:val="auto"/>
          <w:sz w:val="28"/>
          <w:highlight w:val="none"/>
        </w:rPr>
      </w:pPr>
      <w:r>
        <w:rPr>
          <w:rFonts w:ascii="Arial" w:hAnsi="Arial" w:cs="Arial"/>
          <w:b/>
          <w:color w:val="auto"/>
          <w:sz w:val="24"/>
          <w:highlight w:val="none"/>
        </w:rPr>
        <w:br w:type="page"/>
      </w:r>
      <w:r>
        <w:rPr>
          <w:rFonts w:ascii="Arial" w:hAnsi="Arial" w:cs="Arial"/>
          <w:color w:val="auto"/>
          <w:sz w:val="28"/>
          <w:highlight w:val="none"/>
        </w:rPr>
        <w:t>第三部分 其他文件</w:t>
      </w:r>
    </w:p>
    <w:p>
      <w:pPr>
        <w:autoSpaceDE w:val="0"/>
        <w:ind w:firstLine="316"/>
        <w:jc w:val="left"/>
        <w:rPr>
          <w:rFonts w:ascii="Arial" w:hAnsi="Arial" w:cs="Arial"/>
          <w:b/>
          <w:color w:val="auto"/>
          <w:highlight w:val="none"/>
        </w:rPr>
      </w:pPr>
    </w:p>
    <w:p>
      <w:pPr>
        <w:autoSpaceDE w:val="0"/>
        <w:jc w:val="center"/>
        <w:rPr>
          <w:rFonts w:ascii="Arial" w:hAnsi="Arial" w:cs="Arial"/>
          <w:b/>
          <w:color w:val="auto"/>
          <w:sz w:val="24"/>
          <w:highlight w:val="none"/>
        </w:rPr>
      </w:pPr>
      <w:r>
        <w:rPr>
          <w:rFonts w:ascii="Arial" w:hAnsi="Arial" w:cs="Arial"/>
          <w:b/>
          <w:color w:val="auto"/>
          <w:sz w:val="24"/>
          <w:highlight w:val="none"/>
        </w:rPr>
        <w:t>3.1资格证明文件</w:t>
      </w:r>
      <w:r>
        <w:rPr>
          <w:rFonts w:hint="eastAsia" w:ascii="Arial" w:hAnsi="Arial" w:cs="Arial"/>
          <w:b/>
          <w:color w:val="auto"/>
          <w:sz w:val="24"/>
          <w:highlight w:val="none"/>
        </w:rPr>
        <w:t>（必须提供）</w:t>
      </w:r>
    </w:p>
    <w:p>
      <w:pPr>
        <w:autoSpaceDE w:val="0"/>
        <w:spacing w:line="400" w:lineRule="exact"/>
        <w:ind w:firstLine="316"/>
        <w:jc w:val="left"/>
        <w:rPr>
          <w:rFonts w:ascii="Arial" w:hAnsi="Arial" w:cs="Arial"/>
          <w:b/>
          <w:color w:val="auto"/>
          <w:highlight w:val="none"/>
        </w:rPr>
      </w:pPr>
      <w:r>
        <w:rPr>
          <w:rFonts w:ascii="Arial" w:hAnsi="Arial" w:cs="Arial"/>
          <w:b/>
          <w:color w:val="auto"/>
          <w:highlight w:val="none"/>
        </w:rPr>
        <w:t>3.1.1 必须提供的证明文件（复印件加盖公章）</w:t>
      </w:r>
    </w:p>
    <w:p>
      <w:pPr>
        <w:numPr>
          <w:ilvl w:val="0"/>
          <w:numId w:val="9"/>
        </w:numPr>
        <w:autoSpaceDE w:val="0"/>
        <w:spacing w:line="400" w:lineRule="exact"/>
        <w:ind w:left="1155" w:hanging="840"/>
        <w:jc w:val="left"/>
        <w:rPr>
          <w:rFonts w:ascii="Arial" w:hAnsi="Arial" w:cs="Arial"/>
          <w:color w:val="auto"/>
          <w:highlight w:val="none"/>
        </w:rPr>
      </w:pPr>
      <w:r>
        <w:rPr>
          <w:rFonts w:hint="eastAsia" w:ascii="Arial" w:hAnsi="Arial" w:cs="Arial"/>
          <w:color w:val="auto"/>
          <w:highlight w:val="none"/>
        </w:rPr>
        <w:t>3.1.1.1</w:t>
      </w:r>
      <w:r>
        <w:rPr>
          <w:rFonts w:ascii="Arial" w:hAnsi="Arial" w:cs="Arial"/>
          <w:color w:val="auto"/>
          <w:highlight w:val="none"/>
        </w:rPr>
        <w:t>营业执照、税务登记证、组织机构代码证（已办理“三证合一”的供应商可只提供营业执</w:t>
      </w:r>
    </w:p>
    <w:p>
      <w:pPr>
        <w:numPr>
          <w:ilvl w:val="0"/>
          <w:numId w:val="9"/>
        </w:numPr>
        <w:autoSpaceDE w:val="0"/>
        <w:spacing w:line="400" w:lineRule="exact"/>
        <w:ind w:left="1155" w:hanging="840"/>
        <w:jc w:val="left"/>
        <w:rPr>
          <w:rFonts w:ascii="Arial" w:hAnsi="Arial" w:cs="Arial"/>
          <w:color w:val="auto"/>
          <w:highlight w:val="none"/>
        </w:rPr>
      </w:pPr>
      <w:r>
        <w:rPr>
          <w:rFonts w:ascii="Arial" w:hAnsi="Arial" w:cs="Arial"/>
          <w:color w:val="auto"/>
          <w:highlight w:val="none"/>
        </w:rPr>
        <w:t>照）。</w:t>
      </w:r>
    </w:p>
    <w:p>
      <w:pPr>
        <w:numPr>
          <w:ilvl w:val="0"/>
          <w:numId w:val="9"/>
        </w:numPr>
        <w:autoSpaceDE w:val="0"/>
        <w:spacing w:line="400" w:lineRule="exact"/>
        <w:ind w:left="1155" w:hanging="840"/>
        <w:jc w:val="left"/>
        <w:rPr>
          <w:rFonts w:ascii="Arial" w:hAnsi="Arial" w:cs="Arial"/>
          <w:color w:val="auto"/>
          <w:highlight w:val="none"/>
        </w:rPr>
      </w:pPr>
      <w:r>
        <w:rPr>
          <w:rFonts w:hint="eastAsia" w:ascii="Arial" w:hAnsi="Arial" w:cs="Arial"/>
          <w:color w:val="auto"/>
          <w:highlight w:val="none"/>
        </w:rPr>
        <w:t xml:space="preserve">3.1.1.2 </w:t>
      </w:r>
      <w:r>
        <w:rPr>
          <w:rFonts w:hint="eastAsia" w:ascii="Arial" w:hAnsi="Arial" w:cs="Arial"/>
          <w:color w:val="auto"/>
          <w:kern w:val="0"/>
          <w:szCs w:val="21"/>
          <w:highlight w:val="none"/>
        </w:rPr>
        <w:t>供应商取得《广西中药饮片代煎质量管理规范（试行）》要求的认证资格或承诺成交后三个月内能在</w:t>
      </w:r>
      <w:r>
        <w:rPr>
          <w:rFonts w:hint="eastAsia" w:ascii="Arial" w:hAnsi="Arial" w:cs="Arial"/>
          <w:color w:val="auto"/>
          <w:kern w:val="0"/>
          <w:szCs w:val="21"/>
          <w:highlight w:val="none"/>
          <w:lang w:eastAsia="zh-CN"/>
        </w:rPr>
        <w:t>桂林</w:t>
      </w:r>
      <w:r>
        <w:rPr>
          <w:rFonts w:hint="eastAsia" w:ascii="Arial" w:hAnsi="Arial" w:cs="Arial"/>
          <w:color w:val="auto"/>
          <w:kern w:val="0"/>
          <w:szCs w:val="21"/>
          <w:highlight w:val="none"/>
        </w:rPr>
        <w:t>设有代煎服务点并通过《广西中药饮片代煎质量管理规范（试行）》要求的认证资格（必须提供）</w:t>
      </w:r>
      <w:r>
        <w:rPr>
          <w:rFonts w:hint="eastAsia" w:ascii="Arial" w:hAnsi="Arial" w:cs="Arial"/>
          <w:color w:val="auto"/>
          <w:highlight w:val="none"/>
        </w:rPr>
        <w:t>。</w:t>
      </w:r>
    </w:p>
    <w:p>
      <w:pPr>
        <w:numPr>
          <w:ilvl w:val="0"/>
          <w:numId w:val="9"/>
        </w:numPr>
        <w:autoSpaceDE w:val="0"/>
        <w:spacing w:line="400" w:lineRule="exact"/>
        <w:ind w:left="1155" w:hanging="840"/>
        <w:jc w:val="left"/>
        <w:rPr>
          <w:rFonts w:ascii="Arial" w:hAnsi="Arial" w:cs="Arial"/>
          <w:color w:val="auto"/>
          <w:highlight w:val="none"/>
        </w:rPr>
      </w:pPr>
      <w:r>
        <w:rPr>
          <w:rFonts w:hint="eastAsia" w:ascii="Arial" w:hAnsi="Arial" w:cs="Arial"/>
          <w:color w:val="auto"/>
          <w:highlight w:val="none"/>
        </w:rPr>
        <w:t>3.1.1.3</w:t>
      </w:r>
      <w:r>
        <w:rPr>
          <w:rFonts w:ascii="Arial" w:hAnsi="Arial" w:cs="Arial"/>
          <w:color w:val="auto"/>
          <w:highlight w:val="none"/>
        </w:rPr>
        <w:t>供应商需提供至截标时间止在经营活动中没有重大违法记录的书面声明（格式自拟）。</w:t>
      </w:r>
    </w:p>
    <w:p>
      <w:pPr>
        <w:pStyle w:val="56"/>
        <w:rPr>
          <w:color w:val="auto"/>
          <w:highlight w:val="none"/>
        </w:rPr>
      </w:pPr>
    </w:p>
    <w:p>
      <w:pPr>
        <w:autoSpaceDE w:val="0"/>
        <w:spacing w:line="400" w:lineRule="exact"/>
        <w:ind w:firstLine="315"/>
        <w:jc w:val="left"/>
        <w:rPr>
          <w:rFonts w:ascii="Arial" w:hAnsi="Arial" w:cs="Arial"/>
          <w:color w:val="auto"/>
          <w:highlight w:val="none"/>
        </w:rPr>
      </w:pPr>
      <w:r>
        <w:rPr>
          <w:rFonts w:ascii="Arial" w:hAnsi="Arial" w:cs="Arial"/>
          <w:b/>
          <w:color w:val="auto"/>
          <w:highlight w:val="none"/>
        </w:rPr>
        <w:t>3.1.2 其他证明文件</w:t>
      </w:r>
    </w:p>
    <w:p>
      <w:pPr>
        <w:autoSpaceDE w:val="0"/>
        <w:spacing w:line="400" w:lineRule="exact"/>
        <w:ind w:left="315"/>
        <w:jc w:val="left"/>
        <w:rPr>
          <w:rFonts w:ascii="Arial" w:hAnsi="Arial" w:cs="Arial"/>
          <w:color w:val="auto"/>
          <w:highlight w:val="none"/>
        </w:rPr>
      </w:pPr>
      <w:r>
        <w:rPr>
          <w:rFonts w:ascii="Arial" w:hAnsi="Arial" w:cs="Arial"/>
          <w:color w:val="auto"/>
          <w:highlight w:val="none"/>
        </w:rPr>
        <w:t>供应商认为根据磋商文件要求提供的其它证明材料。</w:t>
      </w:r>
    </w:p>
    <w:p>
      <w:pPr>
        <w:spacing w:line="440" w:lineRule="exact"/>
        <w:ind w:firstLine="211" w:firstLineChars="100"/>
        <w:rPr>
          <w:rFonts w:ascii="Arial" w:hAnsi="Arial" w:cs="Arial"/>
          <w:b/>
          <w:color w:val="auto"/>
          <w:highlight w:val="none"/>
        </w:rPr>
      </w:pPr>
    </w:p>
    <w:p>
      <w:pPr>
        <w:snapToGrid w:val="0"/>
        <w:spacing w:before="50" w:after="120" w:afterLines="50" w:line="360" w:lineRule="auto"/>
        <w:jc w:val="left"/>
        <w:rPr>
          <w:b/>
          <w:color w:val="auto"/>
          <w:szCs w:val="21"/>
          <w:highlight w:val="none"/>
        </w:rPr>
      </w:pPr>
      <w:r>
        <w:rPr>
          <w:rFonts w:ascii="Arial" w:hAnsi="Arial" w:cs="Arial"/>
          <w:b/>
          <w:color w:val="auto"/>
          <w:highlight w:val="none"/>
        </w:rPr>
        <w:t>3.1.2</w:t>
      </w:r>
      <w:r>
        <w:rPr>
          <w:b/>
          <w:color w:val="auto"/>
          <w:szCs w:val="21"/>
          <w:highlight w:val="none"/>
        </w:rPr>
        <w:t>.1</w:t>
      </w:r>
      <w:r>
        <w:rPr>
          <w:rFonts w:hint="eastAsia"/>
          <w:b/>
          <w:color w:val="auto"/>
          <w:szCs w:val="21"/>
          <w:highlight w:val="none"/>
        </w:rPr>
        <w:t>供应商直接控股股东信息表</w:t>
      </w:r>
    </w:p>
    <w:tbl>
      <w:tblPr>
        <w:tblStyle w:val="58"/>
        <w:tblW w:w="0" w:type="auto"/>
        <w:tblInd w:w="125" w:type="dxa"/>
        <w:tblLayout w:type="fixed"/>
        <w:tblCellMar>
          <w:top w:w="0" w:type="dxa"/>
          <w:left w:w="0" w:type="dxa"/>
          <w:bottom w:w="0" w:type="dxa"/>
          <w:right w:w="0" w:type="dxa"/>
        </w:tblCellMar>
      </w:tblPr>
      <w:tblGrid>
        <w:gridCol w:w="828"/>
        <w:gridCol w:w="2269"/>
        <w:gridCol w:w="1239"/>
        <w:gridCol w:w="3722"/>
        <w:gridCol w:w="1418"/>
      </w:tblGrid>
      <w:tr>
        <w:tblPrEx>
          <w:tblCellMar>
            <w:top w:w="0" w:type="dxa"/>
            <w:left w:w="0" w:type="dxa"/>
            <w:bottom w:w="0" w:type="dxa"/>
            <w:right w:w="0" w:type="dxa"/>
          </w:tblCellMar>
        </w:tblPrEx>
        <w:trPr>
          <w:tblHeader/>
        </w:trPr>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序号</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直接控股股东名称</w:t>
            </w: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出资比例</w:t>
            </w: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身份证号码或者统一社会信用代码</w:t>
            </w: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备注</w:t>
            </w:r>
          </w:p>
        </w:tc>
      </w:tr>
      <w:tr>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1</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2</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3</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bl>
    <w:p>
      <w:pPr>
        <w:snapToGrid w:val="0"/>
        <w:spacing w:line="360" w:lineRule="auto"/>
        <w:jc w:val="left"/>
        <w:rPr>
          <w:color w:val="auto"/>
          <w:szCs w:val="21"/>
          <w:highlight w:val="none"/>
        </w:rPr>
      </w:pPr>
      <w:r>
        <w:rPr>
          <w:rFonts w:hint="eastAsia"/>
          <w:color w:val="auto"/>
          <w:szCs w:val="21"/>
          <w:highlight w:val="none"/>
        </w:rPr>
        <w:t>注：</w:t>
      </w:r>
    </w:p>
    <w:p>
      <w:pPr>
        <w:snapToGrid w:val="0"/>
        <w:spacing w:line="360" w:lineRule="auto"/>
        <w:jc w:val="left"/>
        <w:rPr>
          <w:color w:val="auto"/>
          <w:szCs w:val="21"/>
          <w:highlight w:val="none"/>
        </w:rPr>
      </w:pPr>
      <w:r>
        <w:rPr>
          <w:rFonts w:hint="eastAsia"/>
          <w:color w:val="auto"/>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pPr>
        <w:snapToGrid w:val="0"/>
        <w:spacing w:line="360" w:lineRule="auto"/>
        <w:jc w:val="left"/>
        <w:rPr>
          <w:color w:val="auto"/>
          <w:szCs w:val="21"/>
          <w:highlight w:val="none"/>
        </w:rPr>
      </w:pPr>
      <w:r>
        <w:rPr>
          <w:rFonts w:hint="eastAsia"/>
          <w:color w:val="auto"/>
          <w:szCs w:val="21"/>
          <w:highlight w:val="none"/>
        </w:rPr>
        <w:t>2.本表所指的控股关系仅限于直接控股关系，不包括间接的控股关系。公司实际控制人与公司之间的关系不属于本表所指的直接控股关系。</w:t>
      </w:r>
    </w:p>
    <w:p>
      <w:pPr>
        <w:snapToGrid w:val="0"/>
        <w:spacing w:line="360" w:lineRule="auto"/>
        <w:jc w:val="left"/>
        <w:rPr>
          <w:color w:val="auto"/>
          <w:szCs w:val="21"/>
          <w:highlight w:val="none"/>
        </w:rPr>
      </w:pPr>
      <w:r>
        <w:rPr>
          <w:rFonts w:hint="eastAsia"/>
          <w:color w:val="auto"/>
          <w:szCs w:val="21"/>
          <w:highlight w:val="none"/>
        </w:rPr>
        <w:t>3.供应商不存在直接控股股东的，则填“无”。</w:t>
      </w:r>
    </w:p>
    <w:p>
      <w:pPr>
        <w:snapToGrid w:val="0"/>
        <w:spacing w:line="360" w:lineRule="auto"/>
        <w:jc w:val="left"/>
        <w:rPr>
          <w:color w:val="auto"/>
          <w:szCs w:val="21"/>
          <w:highlight w:val="none"/>
        </w:rPr>
      </w:pPr>
    </w:p>
    <w:p>
      <w:pPr>
        <w:snapToGrid w:val="0"/>
        <w:spacing w:line="360" w:lineRule="auto"/>
        <w:ind w:firstLine="4410" w:firstLineChars="2100"/>
        <w:rPr>
          <w:color w:val="auto"/>
          <w:szCs w:val="21"/>
          <w:highlight w:val="none"/>
        </w:rPr>
      </w:pPr>
      <w:r>
        <w:rPr>
          <w:rFonts w:hint="eastAsia"/>
          <w:color w:val="auto"/>
          <w:szCs w:val="21"/>
          <w:highlight w:val="none"/>
        </w:rPr>
        <w:t>供应商名称(盖章)：</w:t>
      </w:r>
    </w:p>
    <w:p>
      <w:pPr>
        <w:snapToGrid w:val="0"/>
        <w:spacing w:line="360" w:lineRule="auto"/>
        <w:ind w:firstLine="4515" w:firstLineChars="2150"/>
        <w:rPr>
          <w:color w:val="auto"/>
          <w:szCs w:val="21"/>
          <w:highlight w:val="none"/>
        </w:rPr>
      </w:pPr>
      <w:r>
        <w:rPr>
          <w:rFonts w:hint="eastAsia"/>
          <w:color w:val="auto"/>
          <w:szCs w:val="21"/>
          <w:highlight w:val="none"/>
        </w:rPr>
        <w:t>日期：  年  月   日</w:t>
      </w:r>
    </w:p>
    <w:p>
      <w:pPr>
        <w:snapToGrid w:val="0"/>
        <w:rPr>
          <w:rFonts w:ascii="宋体" w:hAnsi="宋体"/>
          <w:b/>
          <w:color w:val="auto"/>
          <w:sz w:val="28"/>
          <w:szCs w:val="28"/>
          <w:highlight w:val="none"/>
        </w:rPr>
      </w:pPr>
      <w:r>
        <w:rPr>
          <w:rFonts w:ascii="宋体" w:hAnsi="宋体"/>
          <w:b/>
          <w:color w:val="auto"/>
          <w:sz w:val="28"/>
          <w:szCs w:val="28"/>
          <w:highlight w:val="none"/>
        </w:rPr>
        <w:br w:type="page"/>
      </w:r>
      <w:r>
        <w:rPr>
          <w:rFonts w:ascii="Arial" w:hAnsi="Arial" w:cs="Arial"/>
          <w:b/>
          <w:color w:val="auto"/>
          <w:highlight w:val="none"/>
        </w:rPr>
        <w:t>3.1.2</w:t>
      </w:r>
      <w:r>
        <w:rPr>
          <w:b/>
          <w:color w:val="auto"/>
          <w:szCs w:val="21"/>
          <w:highlight w:val="none"/>
        </w:rPr>
        <w:t>.2</w:t>
      </w:r>
      <w:r>
        <w:rPr>
          <w:rFonts w:hint="eastAsia"/>
          <w:b/>
          <w:color w:val="auto"/>
          <w:szCs w:val="21"/>
          <w:highlight w:val="none"/>
        </w:rPr>
        <w:t>供应商直接管理关系信息表</w:t>
      </w:r>
    </w:p>
    <w:tbl>
      <w:tblPr>
        <w:tblStyle w:val="58"/>
        <w:tblW w:w="9319" w:type="dxa"/>
        <w:tblInd w:w="125" w:type="dxa"/>
        <w:shd w:val="clear" w:color="auto" w:fill="FBFBFB"/>
        <w:tblLayout w:type="fixed"/>
        <w:tblCellMar>
          <w:top w:w="0" w:type="dxa"/>
          <w:left w:w="0" w:type="dxa"/>
          <w:bottom w:w="0" w:type="dxa"/>
          <w:right w:w="0" w:type="dxa"/>
        </w:tblCellMar>
      </w:tblPr>
      <w:tblGrid>
        <w:gridCol w:w="970"/>
        <w:gridCol w:w="2567"/>
        <w:gridCol w:w="3789"/>
        <w:gridCol w:w="1993"/>
      </w:tblGrid>
      <w:tr>
        <w:tblPrEx>
          <w:shd w:val="clear" w:color="auto" w:fill="FBFBFB"/>
          <w:tblCellMar>
            <w:top w:w="0" w:type="dxa"/>
            <w:left w:w="0" w:type="dxa"/>
            <w:bottom w:w="0" w:type="dxa"/>
            <w:right w:w="0" w:type="dxa"/>
          </w:tblCellMar>
        </w:tblPrEx>
        <w:trPr>
          <w:trHeight w:val="600"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序号</w:t>
            </w:r>
          </w:p>
        </w:tc>
        <w:tc>
          <w:tcPr>
            <w:tcW w:w="256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直接管理关系单位名称</w:t>
            </w:r>
          </w:p>
        </w:tc>
        <w:tc>
          <w:tcPr>
            <w:tcW w:w="37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统一社会信用代码</w:t>
            </w:r>
          </w:p>
        </w:tc>
        <w:tc>
          <w:tcPr>
            <w:tcW w:w="1993"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备注</w:t>
            </w:r>
          </w:p>
        </w:tc>
      </w:tr>
      <w:tr>
        <w:tblPrEx>
          <w:shd w:val="clear" w:color="auto" w:fill="FBFBFB"/>
          <w:tblCellMar>
            <w:top w:w="0" w:type="dxa"/>
            <w:left w:w="0" w:type="dxa"/>
            <w:bottom w:w="0" w:type="dxa"/>
            <w:right w:w="0" w:type="dxa"/>
          </w:tblCellMar>
        </w:tblPrEx>
        <w:trPr>
          <w:trHeight w:val="592" w:hRule="atLeast"/>
        </w:trPr>
        <w:tc>
          <w:tcPr>
            <w:tcW w:w="9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1</w:t>
            </w:r>
          </w:p>
        </w:tc>
        <w:tc>
          <w:tcPr>
            <w:tcW w:w="256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37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993"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shd w:val="clear" w:color="auto" w:fill="FBFBFB"/>
          <w:tblCellMar>
            <w:top w:w="0" w:type="dxa"/>
            <w:left w:w="0" w:type="dxa"/>
            <w:bottom w:w="0" w:type="dxa"/>
            <w:right w:w="0" w:type="dxa"/>
          </w:tblCellMar>
        </w:tblPrEx>
        <w:trPr>
          <w:trHeight w:val="592" w:hRule="atLeast"/>
        </w:trPr>
        <w:tc>
          <w:tcPr>
            <w:tcW w:w="9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2</w:t>
            </w:r>
          </w:p>
        </w:tc>
        <w:tc>
          <w:tcPr>
            <w:tcW w:w="256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37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993"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CellMar>
            <w:top w:w="0" w:type="dxa"/>
            <w:left w:w="0" w:type="dxa"/>
            <w:bottom w:w="0" w:type="dxa"/>
            <w:right w:w="0" w:type="dxa"/>
          </w:tblCellMar>
        </w:tblPrEx>
        <w:trPr>
          <w:trHeight w:val="592" w:hRule="atLeast"/>
        </w:trPr>
        <w:tc>
          <w:tcPr>
            <w:tcW w:w="9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3</w:t>
            </w:r>
          </w:p>
        </w:tc>
        <w:tc>
          <w:tcPr>
            <w:tcW w:w="256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37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993"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CellMar>
            <w:top w:w="0" w:type="dxa"/>
            <w:left w:w="0" w:type="dxa"/>
            <w:bottom w:w="0" w:type="dxa"/>
            <w:right w:w="0" w:type="dxa"/>
          </w:tblCellMar>
        </w:tblPrEx>
        <w:trPr>
          <w:trHeight w:val="646" w:hRule="atLeast"/>
        </w:trPr>
        <w:tc>
          <w:tcPr>
            <w:tcW w:w="9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p>
        </w:tc>
        <w:tc>
          <w:tcPr>
            <w:tcW w:w="256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37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c>
          <w:tcPr>
            <w:tcW w:w="1993"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bl>
    <w:p>
      <w:pPr>
        <w:snapToGrid w:val="0"/>
        <w:spacing w:line="360" w:lineRule="auto"/>
        <w:jc w:val="left"/>
        <w:rPr>
          <w:color w:val="auto"/>
          <w:szCs w:val="21"/>
          <w:highlight w:val="none"/>
        </w:rPr>
      </w:pPr>
      <w:r>
        <w:rPr>
          <w:rFonts w:hint="eastAsia"/>
          <w:color w:val="auto"/>
          <w:szCs w:val="21"/>
          <w:highlight w:val="none"/>
        </w:rPr>
        <w:t>注：</w:t>
      </w:r>
    </w:p>
    <w:p>
      <w:pPr>
        <w:snapToGrid w:val="0"/>
        <w:spacing w:line="360" w:lineRule="auto"/>
        <w:ind w:firstLine="420" w:firstLineChars="200"/>
        <w:jc w:val="left"/>
        <w:rPr>
          <w:color w:val="auto"/>
          <w:szCs w:val="21"/>
          <w:highlight w:val="none"/>
        </w:rPr>
      </w:pPr>
      <w:r>
        <w:rPr>
          <w:rFonts w:hint="eastAsia"/>
          <w:color w:val="auto"/>
          <w:szCs w:val="21"/>
          <w:highlight w:val="none"/>
        </w:rPr>
        <w:t>1.管理关系：是指不具有出资持股关系的其他单位之间存在的管理与被管理关系，如一些上下级关系的事业单位和团体组织。</w:t>
      </w:r>
    </w:p>
    <w:p>
      <w:pPr>
        <w:snapToGrid w:val="0"/>
        <w:spacing w:line="360" w:lineRule="auto"/>
        <w:ind w:firstLine="420" w:firstLineChars="200"/>
        <w:jc w:val="left"/>
        <w:rPr>
          <w:color w:val="auto"/>
          <w:szCs w:val="21"/>
          <w:highlight w:val="none"/>
        </w:rPr>
      </w:pPr>
      <w:r>
        <w:rPr>
          <w:rFonts w:hint="eastAsia"/>
          <w:color w:val="auto"/>
          <w:szCs w:val="21"/>
          <w:highlight w:val="none"/>
        </w:rPr>
        <w:t>2.本表所指的管理关系仅限于直接管理关系，不包括间接的管理关系。</w:t>
      </w:r>
    </w:p>
    <w:p>
      <w:pPr>
        <w:snapToGrid w:val="0"/>
        <w:spacing w:line="360" w:lineRule="auto"/>
        <w:ind w:firstLine="420" w:firstLineChars="200"/>
        <w:jc w:val="left"/>
        <w:rPr>
          <w:color w:val="auto"/>
          <w:szCs w:val="21"/>
          <w:highlight w:val="none"/>
        </w:rPr>
      </w:pPr>
      <w:r>
        <w:rPr>
          <w:rFonts w:hint="eastAsia"/>
          <w:color w:val="auto"/>
          <w:szCs w:val="21"/>
          <w:highlight w:val="none"/>
        </w:rPr>
        <w:t>3.供应商不存在直接管理关系的，则填“无”。</w:t>
      </w:r>
    </w:p>
    <w:p>
      <w:pPr>
        <w:snapToGrid w:val="0"/>
        <w:spacing w:line="360" w:lineRule="auto"/>
        <w:jc w:val="left"/>
        <w:rPr>
          <w:color w:val="auto"/>
          <w:szCs w:val="21"/>
          <w:highlight w:val="none"/>
        </w:rPr>
      </w:pPr>
    </w:p>
    <w:p>
      <w:pPr>
        <w:snapToGrid w:val="0"/>
        <w:spacing w:line="360" w:lineRule="auto"/>
        <w:jc w:val="left"/>
        <w:rPr>
          <w:color w:val="auto"/>
          <w:szCs w:val="21"/>
          <w:highlight w:val="none"/>
        </w:rPr>
      </w:pPr>
    </w:p>
    <w:p>
      <w:pPr>
        <w:snapToGrid w:val="0"/>
        <w:spacing w:line="360" w:lineRule="auto"/>
        <w:jc w:val="left"/>
        <w:rPr>
          <w:color w:val="auto"/>
          <w:szCs w:val="21"/>
          <w:highlight w:val="none"/>
        </w:rPr>
      </w:pPr>
    </w:p>
    <w:p>
      <w:pPr>
        <w:snapToGrid w:val="0"/>
        <w:spacing w:line="360" w:lineRule="auto"/>
        <w:jc w:val="left"/>
        <w:rPr>
          <w:color w:val="auto"/>
          <w:szCs w:val="21"/>
          <w:highlight w:val="none"/>
        </w:rPr>
      </w:pPr>
    </w:p>
    <w:p>
      <w:pPr>
        <w:snapToGrid w:val="0"/>
        <w:spacing w:line="360" w:lineRule="auto"/>
        <w:jc w:val="left"/>
        <w:rPr>
          <w:color w:val="auto"/>
          <w:szCs w:val="21"/>
          <w:highlight w:val="none"/>
        </w:rPr>
      </w:pPr>
    </w:p>
    <w:p>
      <w:pPr>
        <w:snapToGrid w:val="0"/>
        <w:spacing w:line="360" w:lineRule="auto"/>
        <w:jc w:val="left"/>
        <w:rPr>
          <w:color w:val="auto"/>
          <w:szCs w:val="21"/>
          <w:highlight w:val="none"/>
        </w:rPr>
      </w:pPr>
    </w:p>
    <w:p>
      <w:pPr>
        <w:snapToGrid w:val="0"/>
        <w:spacing w:line="360" w:lineRule="auto"/>
        <w:jc w:val="left"/>
        <w:rPr>
          <w:color w:val="auto"/>
          <w:szCs w:val="21"/>
          <w:highlight w:val="none"/>
        </w:rPr>
      </w:pPr>
    </w:p>
    <w:p>
      <w:pPr>
        <w:snapToGrid w:val="0"/>
        <w:spacing w:line="360" w:lineRule="auto"/>
        <w:ind w:firstLine="4410" w:firstLineChars="2100"/>
        <w:rPr>
          <w:color w:val="auto"/>
          <w:szCs w:val="21"/>
          <w:highlight w:val="none"/>
        </w:rPr>
      </w:pPr>
      <w:r>
        <w:rPr>
          <w:rFonts w:hint="eastAsia"/>
          <w:color w:val="auto"/>
          <w:szCs w:val="21"/>
          <w:highlight w:val="none"/>
        </w:rPr>
        <w:t>供应商名称(盖章)：</w:t>
      </w:r>
    </w:p>
    <w:p>
      <w:pPr>
        <w:snapToGrid w:val="0"/>
        <w:spacing w:line="360" w:lineRule="auto"/>
        <w:ind w:firstLine="4515" w:firstLineChars="2150"/>
        <w:rPr>
          <w:color w:val="auto"/>
          <w:szCs w:val="21"/>
          <w:highlight w:val="none"/>
        </w:rPr>
      </w:pPr>
      <w:r>
        <w:rPr>
          <w:rFonts w:hint="eastAsia"/>
          <w:color w:val="auto"/>
          <w:szCs w:val="21"/>
          <w:highlight w:val="none"/>
        </w:rPr>
        <w:t>日期：  年  月   日</w:t>
      </w:r>
    </w:p>
    <w:p>
      <w:pPr>
        <w:pStyle w:val="30"/>
        <w:tabs>
          <w:tab w:val="left" w:pos="2127"/>
        </w:tabs>
        <w:spacing w:line="340" w:lineRule="exact"/>
        <w:rPr>
          <w:rFonts w:ascii="Times New Roman" w:hAnsi="Times New Roman" w:cs="Times New Roman"/>
          <w:color w:val="auto"/>
          <w:highlight w:val="none"/>
        </w:rPr>
      </w:pPr>
    </w:p>
    <w:bookmarkEnd w:id="278"/>
    <w:bookmarkEnd w:id="279"/>
    <w:bookmarkEnd w:id="280"/>
    <w:p>
      <w:pPr>
        <w:pStyle w:val="30"/>
        <w:snapToGrid w:val="0"/>
        <w:spacing w:before="120" w:after="100" w:afterAutospacing="1" w:line="320" w:lineRule="exact"/>
        <w:rPr>
          <w:rFonts w:ascii="Arial" w:hAnsi="Arial" w:cs="Arial"/>
          <w:b/>
          <w:color w:val="auto"/>
          <w:highlight w:val="none"/>
        </w:rPr>
      </w:pPr>
    </w:p>
    <w:sectPr>
      <w:headerReference r:id="rId20" w:type="default"/>
      <w:footerReference r:id="rId21" w:type="default"/>
      <w:type w:val="continuous"/>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5"/>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6IhLcoBAACa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ny&#10;TdanD1Bj2l3AxDS890POnfyAzkx7UNHmLxIiGEd1Txd15ZCIyI9Wy9WqwpDA2HxBHPb0PERIH6S3&#10;JBsNjTi+oio/foI0ps4puZrzt9oY9PPauL8ciJk9LPc+9pitNOyGqfGdb0/Ip8fJN9TholNiPjoU&#10;Ni/JbMTZ2M3GIUS978oW5XoQ3h0SNlF6yxVG2Kkwjqywm9Yr78Sf95L19Ett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m6IhLcoBAACaAwAADgAAAAAAAAABACAAAAAeAQAAZHJzL2Uyb0Rv&#10;Yy54bWxQSwUGAAAAAAYABgBZAQAAWgUAAAAA&#10;">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1785"/>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Iq5ssgBAACaAwAADgAAAGRycy9lMm9Eb2MueG1srVPNjtMwEL4j8Q6W&#10;79TZSKAqaroCVYuQECAtPIDr2I0l/8njNukLwBtw4sKd5+pzMHaSLiyXPXBxxjPjb+b7ZrK5Ha0h&#10;JxlBe9fSm1VFiXTCd9odWvrl892LNSWQuOu48U629CyB3m6fP9sMoZG1773pZCQI4qAZQkv7lELD&#10;GIheWg4rH6TDoPLR8oTXeGBd5AOiW8PqqnrFBh+7EL2QAOjdTUE6I8anAHqltJA7L45WujShRml4&#10;QkrQ6wB0W7pVSor0USmQiZiWItNUTiyC9j6fbLvhzSHy0Gsxt8Cf0sIjTpZrh0WvUDueODlG/Q+U&#10;1SJ68CqthLdsIlIUQRY31SNt7nseZOGCUkO4ig7/D1Z8OH2KRHctrSlx3OLAL9+/XX78uvz8SuqX&#10;WZ8hQINp9wET0/jGj7g1ix/QmWmPKtr8RUIE46ju+aquHBMR+dG6Xq8rDAmMLRfEZw/PQ4T0VnpL&#10;stHSiOMrqvLTe0hT6pKSqzl/p40pIzTuLwdiZg/LvU89ZiuN+3EmtPfdGfkMOPmWOlx0Ssw7h8Lm&#10;JVmMuBj7xTiGqA992aJcD8LrY8ImSm+5wgQ7F8aRFXbzeuWd+PNesh5+qe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CKubLIAQAAmgMAAA4AAAAAAAAAAQAgAAAAHgEAAGRycy9lMm9Eb2Mu&#10;eG1sUEsFBgAAAAAGAAYAWQEAAFgFAAAAAA==&#10;">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4526"/>
      <w:rPr>
        <w:rFonts w:eastAsia="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5"/>
                          </w:pPr>
                          <w:r>
                            <w:fldChar w:fldCharType="begin"/>
                          </w:r>
                          <w:r>
                            <w:instrText xml:space="preserve"> PAGE  \* MERGEFORMAT </w:instrText>
                          </w:r>
                          <w:r>
                            <w:fldChar w:fldCharType="separate"/>
                          </w:r>
                          <w:r>
                            <w:t>19</w:t>
                          </w:r>
                          <w:r>
                            <w:fldChar w:fldCharType="end"/>
                          </w:r>
                        </w:p>
                      </w:txbxContent>
                    </wps:txbx>
                    <wps:bodyPr wrap="none" lIns="0" tIns="0" rIns="0" bIns="0" upright="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mPaVcoBAACaAwAADgAAAGRycy9lMm9Eb2MueG1srVPNjtMwEL4j8Q6W&#10;79TZIq2qqOlqUbUICQHSwgO4jt1Y8p88bpO+ALwBJy7cea4+B2Mn6S7LZQ97ccYz42/m+2ayvhms&#10;IUcZQXvX0KtFRYl0wrfa7Rv67evdmxUlkLhrufFONvQkgd5sXr9a96GWS99508pIEMRB3YeGdimF&#10;mjEQnbQcFj5Ih0Hlo+UJr3HP2sh7RLeGLavqmvU+tiF6IQHQux2DdEKMzwH0Smkht14crHRpRI3S&#10;8ISUoNMB6KZ0q5QU6bNSIBMxDUWmqZxYBO1dPtlmzet95KHTYmqBP6eFJ5ws1w6LXqC2PHFyiPo/&#10;KKtF9OBVWghv2UikKIIsrqon2tx3PMjCBaWGcBEdXg5WfDp+iUS3DX1LieMWB37++eP868/593ey&#10;vM769AFqTLsPmJiGd37ArZn9gM5Me1DR5i8SIhhHdU8XdeWQiMiPVsvVqsKQwNh8QXz28DxESO+l&#10;tyQbDY04vqIqP36ENKbOKbma83famDJC4/5xIGb2sNz72GO20rAbJkI7356QT4+Tb6jDRafEfHAo&#10;bF6S2YizsZuNQ4h635UtyvUg3B4SNlF6yxVG2Kkwjqywm9Yr78Tje8l6+KU2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imPaVcoBAACaAwAADgAAAAAAAAABACAAAAAeAQAAZHJzL2Uyb0Rv&#10;Yy54bWxQSwUGAAAAAAYABgBZAQAAWgUAAAAA&#10;">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5"/>
                          </w:pPr>
                          <w:r>
                            <w:fldChar w:fldCharType="begin"/>
                          </w:r>
                          <w:r>
                            <w:instrText xml:space="preserve"> PAGE  \* MERGEFORMAT </w:instrText>
                          </w:r>
                          <w:r>
                            <w:fldChar w:fldCharType="separate"/>
                          </w:r>
                          <w:r>
                            <w:t>23</w:t>
                          </w:r>
                          <w:r>
                            <w:fldChar w:fldCharType="end"/>
                          </w:r>
                        </w:p>
                      </w:txbxContent>
                    </wps:txbx>
                    <wps:bodyPr wrap="none" lIns="0" tIns="0" rIns="0" bIns="0" upright="0">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934VskBAACaAwAADgAAAGRycy9lMm9Eb2MueG1srVPNjtMwEL4j8Q6W&#10;79TZCkE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fL&#10;t1mfPkCNabcBE9Pw3g+4NbMf0JlpDyra/EVCBOOo7umirhwSEfnRarlaVRgSGJsviM/un4cI6YP0&#10;lmSjoRHHV1Tlx0+QxtQ5JVdz/kYbU0Zo3H8OxMwelnsfe8xWGnbDRGjn2xPy6XHyDXW46JSYjw6F&#10;zUsyG3E2drNxCFHvu7JFuR6Ed4eETZTecoURdiqMIyvspvXKO/HvvWTd/1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X3fhWyQEAAJoDAAAOAAAAAAAAAAEAIAAAAB4BAABkcnMvZTJvRG9j&#10;LnhtbFBLBQYAAAAABgAGAFkBAABZBQAAAAA=&#10;">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5"/>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QhMBsgBAACaAwAADgAAAGRycy9lMm9Eb2MueG1srVPNjtMwEL4j8Q6W&#10;79TZSqAoaroCVYuQECAtPIDr2I0l/8njNukLwBtw4sKd5+pzMHaSLiyXPXBxxjPjb+b7ZrK5Ha0h&#10;JxlBe9fSm1VFiXTCd9odWvrl892LmhJI3HXceCdbepZAb7fPn22G0Mi1773pZCQI4qAZQkv7lELD&#10;GIheWg4rH6TDoPLR8oTXeGBd5AOiW8PWVfWKDT52IXohAdC7m4J0RoxPAfRKaSF3XhytdGlCjdLw&#10;hJSg1wHotnSrlBTpo1IgEzEtRaapnFgE7X0+2XbDm0PkoddiboE/pYVHnCzXDoteoXY8cXKM+h8o&#10;q0X04FVaCW/ZRKQogixuqkfa3Pc8yMIFpYZwFR3+H6z4cPoUie5a+pISxy0O/PL92+XHr8vPr2Rd&#10;Z32GAA2m3QdMTOMbP+LWLH5AZ6Y9qmjzFwkRjKO656u6ckxE5Ef1uq4rDAmMLRfEZw/PQ4T0VnpL&#10;stHSiOMrqvLTe0hT6pKSqzl/p40pIzTuLwdiZg/LvU89ZiuN+3EmtPfdGfkMOPmWOlx0Ssw7h8Lm&#10;JVmMuBj7xTiGqA992aJcD8LrY8ImSm+5wgQ7F8aRFXbzeuWd+PNesh5+qe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EITAbIAQAAmgMAAA4AAAAAAAAAAQAgAAAAHgEAAGRycy9lMm9Eb2Mu&#10;eG1sUEsFBgAAAAAGAAYAWQEAAFgFAAAAAA==&#10;">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5"/>
                          </w:pPr>
                          <w:r>
                            <w:fldChar w:fldCharType="begin"/>
                          </w:r>
                          <w:r>
                            <w:instrText xml:space="preserve"> PAGE  \* MERGEFORMAT </w:instrText>
                          </w:r>
                          <w:r>
                            <w:fldChar w:fldCharType="separate"/>
                          </w:r>
                          <w:r>
                            <w:t>37</w:t>
                          </w:r>
                          <w:r>
                            <w:fldChar w:fldCharType="end"/>
                          </w:r>
                        </w:p>
                      </w:txbxContent>
                    </wps:txbx>
                    <wps:bodyPr wrap="none" lIns="0" tIns="0" rIns="0" bIns="0" upright="0">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iDUmckBAACaAwAADgAAAGRycy9lMm9Eb2MueG1srVPNjtMwEL4j8Q6W&#10;79TZHlYl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68pcdziwM8/f5x//Tn//k6W&#10;b7M+fYAa0+4DJqbhnR9wa2Y/oDPTHlS0+YuECMZR3dNFXTkkIvKj1XK1qjAkMDZfEJ89PA8R0nvp&#10;LclGQyOOr6jKjx8hjalzSq7m/J02pozQuH8ciJk9LPc+9pitNOyGidDOtyfk0+PkG+pw0SkxHxwK&#10;m5dkNuJs7GbjEKLed2WLcj0It4eETZTecoURdiqMIyvspvXKO/H4XrIefqnN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INSZyQEAAJoDAAAOAAAAAAAAAAEAIAAAAB4BAABkcnMvZTJvRG9j&#10;LnhtbFBLBQYAAAAABgAGAFkBAABZBQAAAAA=&#10;">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left" w:pos="7456"/>
      </w:tabs>
      <w:snapToGrid w:val="0"/>
      <w:spacing w:before="120" w:after="120" w:line="320" w:lineRule="exact"/>
      <w:outlineLvl w:val="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1"/>
      </w:pBdr>
      <w:jc w:val="left"/>
    </w:pPr>
    <w:r>
      <w:rPr>
        <w:rFonts w:hint="eastAsia"/>
      </w:rPr>
      <w:t xml:space="preserve">广西机电设备招标有限公司磋商文件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left"/>
    </w:pPr>
    <w:r>
      <w:rPr>
        <w:rFonts w:hint="eastAsia"/>
      </w:rPr>
      <w:t xml:space="preserve">广西机电设备招标有限公司磋商文件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1"/>
      </w:pBdr>
      <w:jc w:val="left"/>
      <w:rPr>
        <w:rFonts w:hint="eastAsia"/>
      </w:rPr>
    </w:pPr>
    <w:r>
      <w:rPr>
        <w:rFonts w:hint="eastAsia"/>
      </w:rPr>
      <w:t xml:space="preserve">广西机电设备招标有限公司磋商文件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left"/>
      <w:rPr>
        <w:rFonts w:hint="eastAsia"/>
      </w:rPr>
    </w:pPr>
    <w:r>
      <w:rPr>
        <w:rFonts w:hint="eastAsia"/>
      </w:rPr>
      <w:t xml:space="preserve">广西机电设备招标有限公司磋商文件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1"/>
      </w:pBdr>
      <w:jc w:val="left"/>
      <w:rPr>
        <w:rFonts w:hint="eastAsia"/>
      </w:rPr>
    </w:pPr>
    <w:r>
      <w:rPr>
        <w:rFonts w:hint="eastAsia"/>
      </w:rPr>
      <w:t xml:space="preserve">广西机电设备招标有限公司磋商文件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Fonts w:hint="eastAsia"/>
      </w:rPr>
    </w:pPr>
    <w:r>
      <w:rPr>
        <w:rFonts w:hint="eastAsia"/>
      </w:rPr>
      <w:t>广西机电设备招标有限公司磋商文件                                                            供应商须知</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1"/>
      </w:pBdr>
      <w:jc w:val="both"/>
      <w:rPr>
        <w:rFonts w:ascii="宋体" w:hAnsi="宋体"/>
      </w:rPr>
    </w:pPr>
    <w:r>
      <w:rPr>
        <w:rFonts w:hint="eastAsia"/>
      </w:rPr>
      <w:t xml:space="preserve">广西机电设备招标有限公司磋商文件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1"/>
      </w:pBdr>
      <w:jc w:val="both"/>
      <w:rPr>
        <w:rFonts w:ascii="宋体" w:hAnsi="宋体"/>
      </w:rPr>
    </w:pPr>
    <w:r>
      <w:rPr>
        <w:rFonts w:hint="eastAsia"/>
      </w:rPr>
      <w:t xml:space="preserve">广西机电设备招标有限公司磋商文件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left"/>
    </w:pPr>
    <w:r>
      <w:rPr>
        <w:rFonts w:hint="eastAsia"/>
      </w:rPr>
      <w:t xml:space="preserve">广西机电设备招标有限公司磋商文件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center" w:pos="4153"/>
        <w:tab w:val="right" w:pos="8306"/>
      </w:tabs>
      <w:snapToGrid w:val="0"/>
      <w:rPr>
        <w:rFonts w:ascii="宋体" w:hAnsi="宋体"/>
        <w:sz w:val="18"/>
      </w:rPr>
    </w:pPr>
    <w:r>
      <w:rPr>
        <w:rFonts w:hint="eastAsia" w:ascii="宋体" w:hAnsi="宋体"/>
        <w:sz w:val="18"/>
      </w:rPr>
      <w:t>广西机电设备招标有限公司</w:t>
    </w:r>
    <w:r>
      <w:rPr>
        <w:rFonts w:ascii="宋体" w:hAnsi="宋体"/>
        <w:sz w:val="18"/>
      </w:rPr>
      <w:t xml:space="preserve">磋商文件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center" w:pos="4153"/>
        <w:tab w:val="right" w:pos="8306"/>
      </w:tabs>
      <w:snapToGrid w:val="0"/>
      <w:rPr>
        <w:rFonts w:ascii="宋体" w:hAnsi="宋体"/>
      </w:rPr>
    </w:pPr>
    <w:r>
      <w:rPr>
        <w:rFonts w:hint="eastAsia" w:ascii="宋体" w:hAnsi="宋体"/>
        <w:sz w:val="18"/>
      </w:rPr>
      <w:t xml:space="preserve">广西机电设备招标有限公司磋商文件   </w:t>
    </w:r>
    <w:r>
      <w:rPr>
        <w:rFonts w:hint="eastAsia"/>
      </w:rPr>
      <w:t xml:space="preserve">                                      </w:t>
    </w:r>
    <w:r>
      <w:rPr>
        <w:rFonts w:hint="eastAsia" w:ascii="宋体" w:hAnsi="宋体"/>
        <w:sz w:val="18"/>
      </w:rPr>
      <w:t xml:space="preserve"> </w:t>
    </w:r>
    <w:r>
      <w:rPr>
        <w:rFonts w:ascii="宋体" w:hAnsi="宋体"/>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B69C97"/>
    <w:multiLevelType w:val="multilevel"/>
    <w:tmpl w:val="91B69C97"/>
    <w:lvl w:ilvl="0" w:tentative="0">
      <w:start w:val="1"/>
      <w:numFmt w:val="decimal"/>
      <w:lvlText w:val="%1."/>
      <w:lvlJc w:val="left"/>
      <w:pPr>
        <w:ind w:left="0" w:hanging="219"/>
      </w:pPr>
      <w:rPr>
        <w:rFonts w:hint="default"/>
        <w:spacing w:val="2"/>
        <w:w w:val="100"/>
        <w:lang w:val="zh-CN" w:eastAsia="zh-CN" w:bidi="zh-CN"/>
      </w:rPr>
    </w:lvl>
    <w:lvl w:ilvl="1" w:tentative="0">
      <w:start w:val="0"/>
      <w:numFmt w:val="bullet"/>
      <w:lvlText w:val="•"/>
      <w:lvlJc w:val="left"/>
      <w:pPr>
        <w:ind w:left="909" w:hanging="219"/>
      </w:pPr>
      <w:rPr>
        <w:rFonts w:hint="default"/>
        <w:lang w:val="zh-CN" w:eastAsia="zh-CN" w:bidi="zh-CN"/>
      </w:rPr>
    </w:lvl>
    <w:lvl w:ilvl="2" w:tentative="0">
      <w:start w:val="0"/>
      <w:numFmt w:val="bullet"/>
      <w:lvlText w:val="•"/>
      <w:lvlJc w:val="left"/>
      <w:pPr>
        <w:ind w:left="1718" w:hanging="219"/>
      </w:pPr>
      <w:rPr>
        <w:rFonts w:hint="default"/>
        <w:lang w:val="zh-CN" w:eastAsia="zh-CN" w:bidi="zh-CN"/>
      </w:rPr>
    </w:lvl>
    <w:lvl w:ilvl="3" w:tentative="0">
      <w:start w:val="0"/>
      <w:numFmt w:val="bullet"/>
      <w:lvlText w:val="•"/>
      <w:lvlJc w:val="left"/>
      <w:pPr>
        <w:ind w:left="2527" w:hanging="219"/>
      </w:pPr>
      <w:rPr>
        <w:rFonts w:hint="default"/>
        <w:lang w:val="zh-CN" w:eastAsia="zh-CN" w:bidi="zh-CN"/>
      </w:rPr>
    </w:lvl>
    <w:lvl w:ilvl="4" w:tentative="0">
      <w:start w:val="0"/>
      <w:numFmt w:val="bullet"/>
      <w:lvlText w:val="•"/>
      <w:lvlJc w:val="left"/>
      <w:pPr>
        <w:ind w:left="3337" w:hanging="219"/>
      </w:pPr>
      <w:rPr>
        <w:rFonts w:hint="default"/>
        <w:lang w:val="zh-CN" w:eastAsia="zh-CN" w:bidi="zh-CN"/>
      </w:rPr>
    </w:lvl>
    <w:lvl w:ilvl="5" w:tentative="0">
      <w:start w:val="0"/>
      <w:numFmt w:val="bullet"/>
      <w:lvlText w:val="•"/>
      <w:lvlJc w:val="left"/>
      <w:pPr>
        <w:ind w:left="4146" w:hanging="219"/>
      </w:pPr>
      <w:rPr>
        <w:rFonts w:hint="default"/>
        <w:lang w:val="zh-CN" w:eastAsia="zh-CN" w:bidi="zh-CN"/>
      </w:rPr>
    </w:lvl>
    <w:lvl w:ilvl="6" w:tentative="0">
      <w:start w:val="0"/>
      <w:numFmt w:val="bullet"/>
      <w:lvlText w:val="•"/>
      <w:lvlJc w:val="left"/>
      <w:pPr>
        <w:ind w:left="4955" w:hanging="219"/>
      </w:pPr>
      <w:rPr>
        <w:rFonts w:hint="default"/>
        <w:lang w:val="zh-CN" w:eastAsia="zh-CN" w:bidi="zh-CN"/>
      </w:rPr>
    </w:lvl>
    <w:lvl w:ilvl="7" w:tentative="0">
      <w:start w:val="0"/>
      <w:numFmt w:val="bullet"/>
      <w:lvlText w:val="•"/>
      <w:lvlJc w:val="left"/>
      <w:pPr>
        <w:ind w:left="5765" w:hanging="219"/>
      </w:pPr>
      <w:rPr>
        <w:rFonts w:hint="default"/>
        <w:lang w:val="zh-CN" w:eastAsia="zh-CN" w:bidi="zh-CN"/>
      </w:rPr>
    </w:lvl>
    <w:lvl w:ilvl="8" w:tentative="0">
      <w:start w:val="0"/>
      <w:numFmt w:val="bullet"/>
      <w:lvlText w:val="•"/>
      <w:lvlJc w:val="left"/>
      <w:pPr>
        <w:ind w:left="6574" w:hanging="219"/>
      </w:pPr>
      <w:rPr>
        <w:rFonts w:hint="default"/>
        <w:lang w:val="zh-CN" w:eastAsia="zh-CN" w:bidi="zh-CN"/>
      </w:rPr>
    </w:lvl>
  </w:abstractNum>
  <w:abstractNum w:abstractNumId="1">
    <w:nsid w:val="D6B1DA73"/>
    <w:multiLevelType w:val="singleLevel"/>
    <w:tmpl w:val="D6B1DA73"/>
    <w:lvl w:ilvl="0" w:tentative="0">
      <w:start w:val="3"/>
      <w:numFmt w:val="decimal"/>
      <w:suff w:val="nothing"/>
      <w:lvlText w:val="%1、"/>
      <w:lvlJc w:val="left"/>
    </w:lvl>
  </w:abstractNum>
  <w:abstractNum w:abstractNumId="2">
    <w:nsid w:val="E9F988FF"/>
    <w:multiLevelType w:val="singleLevel"/>
    <w:tmpl w:val="E9F988FF"/>
    <w:lvl w:ilvl="0" w:tentative="0">
      <w:start w:val="1"/>
      <w:numFmt w:val="decimal"/>
      <w:suff w:val="nothing"/>
      <w:lvlText w:val="%1、"/>
      <w:lvlJc w:val="left"/>
    </w:lvl>
  </w:abstractNum>
  <w:abstractNum w:abstractNumId="3">
    <w:nsid w:val="00000002"/>
    <w:multiLevelType w:val="multilevel"/>
    <w:tmpl w:val="00000002"/>
    <w:lvl w:ilvl="0" w:tentative="0">
      <w:start w:val="1"/>
      <w:numFmt w:val="decimal"/>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00000003"/>
    <w:multiLevelType w:val="multilevel"/>
    <w:tmpl w:val="00000003"/>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5">
    <w:nsid w:val="00000004"/>
    <w:multiLevelType w:val="singleLevel"/>
    <w:tmpl w:val="00000004"/>
    <w:lvl w:ilvl="0" w:tentative="0">
      <w:start w:val="2"/>
      <w:numFmt w:val="chineseCounting"/>
      <w:suff w:val="space"/>
      <w:lvlText w:val="第%1章"/>
      <w:lvlJc w:val="left"/>
      <w:rPr>
        <w:rFonts w:hint="eastAsia"/>
      </w:rPr>
    </w:lvl>
  </w:abstractNum>
  <w:abstractNum w:abstractNumId="6">
    <w:nsid w:val="00000006"/>
    <w:multiLevelType w:val="singleLevel"/>
    <w:tmpl w:val="00000006"/>
    <w:lvl w:ilvl="0" w:tentative="0">
      <w:start w:val="1"/>
      <w:numFmt w:val="decimal"/>
      <w:suff w:val="nothing"/>
      <w:lvlText w:val="%1、"/>
      <w:lvlJc w:val="left"/>
    </w:lvl>
  </w:abstractNum>
  <w:abstractNum w:abstractNumId="7">
    <w:nsid w:val="00000007"/>
    <w:multiLevelType w:val="multilevel"/>
    <w:tmpl w:val="00000007"/>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0BB86CFF"/>
    <w:multiLevelType w:val="singleLevel"/>
    <w:tmpl w:val="0BB86CFF"/>
    <w:lvl w:ilvl="0" w:tentative="0">
      <w:start w:val="2"/>
      <w:numFmt w:val="decimal"/>
      <w:suff w:val="nothing"/>
      <w:lvlText w:val="（%1）"/>
      <w:lvlJc w:val="left"/>
    </w:lvl>
  </w:abstractNum>
  <w:num w:numId="1">
    <w:abstractNumId w:val="4"/>
  </w:num>
  <w:num w:numId="2">
    <w:abstractNumId w:val="5"/>
  </w:num>
  <w:num w:numId="3">
    <w:abstractNumId w:val="1"/>
  </w:num>
  <w:num w:numId="4">
    <w:abstractNumId w:val="0"/>
  </w:num>
  <w:num w:numId="5">
    <w:abstractNumId w:val="2"/>
  </w:num>
  <w:num w:numId="6">
    <w:abstractNumId w:val="3"/>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yODdkZjM5MmMzZTg1ZmE0OTAzMjQ0OTM3ZjcyODIifQ=="/>
  </w:docVars>
  <w:rsids>
    <w:rsidRoot w:val="00172A27"/>
    <w:rsid w:val="000047AA"/>
    <w:rsid w:val="00005162"/>
    <w:rsid w:val="0000601A"/>
    <w:rsid w:val="00016503"/>
    <w:rsid w:val="00016879"/>
    <w:rsid w:val="000236C1"/>
    <w:rsid w:val="00031BA8"/>
    <w:rsid w:val="000324A6"/>
    <w:rsid w:val="000332F4"/>
    <w:rsid w:val="0003654F"/>
    <w:rsid w:val="00036A39"/>
    <w:rsid w:val="0003752E"/>
    <w:rsid w:val="0004626B"/>
    <w:rsid w:val="0005078C"/>
    <w:rsid w:val="00050C63"/>
    <w:rsid w:val="0005281C"/>
    <w:rsid w:val="000555AC"/>
    <w:rsid w:val="000560E9"/>
    <w:rsid w:val="00057CCD"/>
    <w:rsid w:val="00064BBC"/>
    <w:rsid w:val="000752F4"/>
    <w:rsid w:val="000773B5"/>
    <w:rsid w:val="00081AFF"/>
    <w:rsid w:val="00084B32"/>
    <w:rsid w:val="00084E5F"/>
    <w:rsid w:val="000874D2"/>
    <w:rsid w:val="000923F4"/>
    <w:rsid w:val="00095144"/>
    <w:rsid w:val="000A1367"/>
    <w:rsid w:val="000A2ACA"/>
    <w:rsid w:val="000A5DB9"/>
    <w:rsid w:val="000A68E2"/>
    <w:rsid w:val="000B0F15"/>
    <w:rsid w:val="000B1475"/>
    <w:rsid w:val="000C1760"/>
    <w:rsid w:val="000C209E"/>
    <w:rsid w:val="000C6E3D"/>
    <w:rsid w:val="000E0485"/>
    <w:rsid w:val="000E6382"/>
    <w:rsid w:val="000F2319"/>
    <w:rsid w:val="00101318"/>
    <w:rsid w:val="001048CB"/>
    <w:rsid w:val="00104C99"/>
    <w:rsid w:val="001055A2"/>
    <w:rsid w:val="001065EB"/>
    <w:rsid w:val="001131B0"/>
    <w:rsid w:val="00123CB6"/>
    <w:rsid w:val="00131AF8"/>
    <w:rsid w:val="00131AF9"/>
    <w:rsid w:val="00136EBB"/>
    <w:rsid w:val="00142148"/>
    <w:rsid w:val="001426DF"/>
    <w:rsid w:val="001536A8"/>
    <w:rsid w:val="00153BA7"/>
    <w:rsid w:val="001569EF"/>
    <w:rsid w:val="00156FB6"/>
    <w:rsid w:val="00167B04"/>
    <w:rsid w:val="00172D42"/>
    <w:rsid w:val="001737E9"/>
    <w:rsid w:val="001749B3"/>
    <w:rsid w:val="0017643A"/>
    <w:rsid w:val="00176788"/>
    <w:rsid w:val="00176E92"/>
    <w:rsid w:val="00176FD9"/>
    <w:rsid w:val="0018687D"/>
    <w:rsid w:val="0018797E"/>
    <w:rsid w:val="00195420"/>
    <w:rsid w:val="00195EE3"/>
    <w:rsid w:val="00196D7D"/>
    <w:rsid w:val="001A1E49"/>
    <w:rsid w:val="001B7AD5"/>
    <w:rsid w:val="001C25A6"/>
    <w:rsid w:val="001C7F10"/>
    <w:rsid w:val="001D07A2"/>
    <w:rsid w:val="001D0F4D"/>
    <w:rsid w:val="001D5D46"/>
    <w:rsid w:val="001E20ED"/>
    <w:rsid w:val="001E21DA"/>
    <w:rsid w:val="001F02B0"/>
    <w:rsid w:val="001F036B"/>
    <w:rsid w:val="001F2D03"/>
    <w:rsid w:val="001F553C"/>
    <w:rsid w:val="002036D3"/>
    <w:rsid w:val="00205DDE"/>
    <w:rsid w:val="002119DC"/>
    <w:rsid w:val="0021334E"/>
    <w:rsid w:val="00214366"/>
    <w:rsid w:val="00221017"/>
    <w:rsid w:val="002244E1"/>
    <w:rsid w:val="00225575"/>
    <w:rsid w:val="00226C6F"/>
    <w:rsid w:val="0023757B"/>
    <w:rsid w:val="00237DF3"/>
    <w:rsid w:val="00244C3C"/>
    <w:rsid w:val="002558D2"/>
    <w:rsid w:val="00256EEF"/>
    <w:rsid w:val="00260326"/>
    <w:rsid w:val="00260B15"/>
    <w:rsid w:val="00260EA7"/>
    <w:rsid w:val="0026120D"/>
    <w:rsid w:val="00262C2D"/>
    <w:rsid w:val="002640BE"/>
    <w:rsid w:val="00265575"/>
    <w:rsid w:val="00270C8F"/>
    <w:rsid w:val="00275784"/>
    <w:rsid w:val="00275B96"/>
    <w:rsid w:val="0029068D"/>
    <w:rsid w:val="00291008"/>
    <w:rsid w:val="002B0E04"/>
    <w:rsid w:val="002B2273"/>
    <w:rsid w:val="002B42DC"/>
    <w:rsid w:val="002B7A1F"/>
    <w:rsid w:val="002C0139"/>
    <w:rsid w:val="002C59A2"/>
    <w:rsid w:val="002D00EF"/>
    <w:rsid w:val="002D0775"/>
    <w:rsid w:val="002D525F"/>
    <w:rsid w:val="002D5755"/>
    <w:rsid w:val="002E476F"/>
    <w:rsid w:val="002E49FF"/>
    <w:rsid w:val="002E4F45"/>
    <w:rsid w:val="002E6712"/>
    <w:rsid w:val="002F007E"/>
    <w:rsid w:val="002F217B"/>
    <w:rsid w:val="002F2CB0"/>
    <w:rsid w:val="003003A1"/>
    <w:rsid w:val="003008D7"/>
    <w:rsid w:val="003063BC"/>
    <w:rsid w:val="00310B26"/>
    <w:rsid w:val="0031173F"/>
    <w:rsid w:val="00316F16"/>
    <w:rsid w:val="00341E32"/>
    <w:rsid w:val="00342465"/>
    <w:rsid w:val="00343359"/>
    <w:rsid w:val="00343450"/>
    <w:rsid w:val="003450BA"/>
    <w:rsid w:val="0034734E"/>
    <w:rsid w:val="00355D2E"/>
    <w:rsid w:val="00356173"/>
    <w:rsid w:val="00357B5E"/>
    <w:rsid w:val="00364B31"/>
    <w:rsid w:val="00364E8F"/>
    <w:rsid w:val="0036514F"/>
    <w:rsid w:val="00365C8E"/>
    <w:rsid w:val="00366D15"/>
    <w:rsid w:val="00372337"/>
    <w:rsid w:val="00374F11"/>
    <w:rsid w:val="00386CAA"/>
    <w:rsid w:val="003873E9"/>
    <w:rsid w:val="00390604"/>
    <w:rsid w:val="00395FC5"/>
    <w:rsid w:val="003A5811"/>
    <w:rsid w:val="003B3D74"/>
    <w:rsid w:val="003B4202"/>
    <w:rsid w:val="003C6777"/>
    <w:rsid w:val="003D7892"/>
    <w:rsid w:val="003E2BA0"/>
    <w:rsid w:val="003E6076"/>
    <w:rsid w:val="003E6920"/>
    <w:rsid w:val="003F31E6"/>
    <w:rsid w:val="003F521F"/>
    <w:rsid w:val="003F5376"/>
    <w:rsid w:val="003F547F"/>
    <w:rsid w:val="004011FB"/>
    <w:rsid w:val="00405426"/>
    <w:rsid w:val="00410F44"/>
    <w:rsid w:val="0041305E"/>
    <w:rsid w:val="004166B2"/>
    <w:rsid w:val="00416CAF"/>
    <w:rsid w:val="00417971"/>
    <w:rsid w:val="004209A6"/>
    <w:rsid w:val="00420C1C"/>
    <w:rsid w:val="0042413E"/>
    <w:rsid w:val="00424C1B"/>
    <w:rsid w:val="004253EF"/>
    <w:rsid w:val="00432D01"/>
    <w:rsid w:val="0043304F"/>
    <w:rsid w:val="0043686D"/>
    <w:rsid w:val="00441F47"/>
    <w:rsid w:val="00442184"/>
    <w:rsid w:val="00446DF1"/>
    <w:rsid w:val="0044749F"/>
    <w:rsid w:val="00453663"/>
    <w:rsid w:val="0045597F"/>
    <w:rsid w:val="004560F7"/>
    <w:rsid w:val="004568D6"/>
    <w:rsid w:val="00457637"/>
    <w:rsid w:val="00461D21"/>
    <w:rsid w:val="00476D02"/>
    <w:rsid w:val="00477E14"/>
    <w:rsid w:val="00482E16"/>
    <w:rsid w:val="004848A7"/>
    <w:rsid w:val="004860CD"/>
    <w:rsid w:val="004917FC"/>
    <w:rsid w:val="00491F50"/>
    <w:rsid w:val="004951E0"/>
    <w:rsid w:val="00497725"/>
    <w:rsid w:val="00497CD5"/>
    <w:rsid w:val="004A1060"/>
    <w:rsid w:val="004A3EC6"/>
    <w:rsid w:val="004B03DF"/>
    <w:rsid w:val="004C614C"/>
    <w:rsid w:val="004C6624"/>
    <w:rsid w:val="004C7589"/>
    <w:rsid w:val="004D167E"/>
    <w:rsid w:val="004D1901"/>
    <w:rsid w:val="004E0DA6"/>
    <w:rsid w:val="004E64BA"/>
    <w:rsid w:val="004E74DF"/>
    <w:rsid w:val="004F0D28"/>
    <w:rsid w:val="00501AB5"/>
    <w:rsid w:val="00503CDD"/>
    <w:rsid w:val="005052EC"/>
    <w:rsid w:val="0050796D"/>
    <w:rsid w:val="005108CF"/>
    <w:rsid w:val="00510C1B"/>
    <w:rsid w:val="005124D9"/>
    <w:rsid w:val="005132DF"/>
    <w:rsid w:val="00513CA1"/>
    <w:rsid w:val="0052039C"/>
    <w:rsid w:val="00523ABF"/>
    <w:rsid w:val="00524C15"/>
    <w:rsid w:val="00526FE3"/>
    <w:rsid w:val="00527760"/>
    <w:rsid w:val="00530435"/>
    <w:rsid w:val="00532F28"/>
    <w:rsid w:val="00540E51"/>
    <w:rsid w:val="00540F06"/>
    <w:rsid w:val="005412CB"/>
    <w:rsid w:val="0055023B"/>
    <w:rsid w:val="00554860"/>
    <w:rsid w:val="00554F54"/>
    <w:rsid w:val="00560279"/>
    <w:rsid w:val="00567559"/>
    <w:rsid w:val="005714A1"/>
    <w:rsid w:val="005736FD"/>
    <w:rsid w:val="00575A53"/>
    <w:rsid w:val="00581319"/>
    <w:rsid w:val="00581BB0"/>
    <w:rsid w:val="005835BA"/>
    <w:rsid w:val="00583D7B"/>
    <w:rsid w:val="005844E8"/>
    <w:rsid w:val="00586CDF"/>
    <w:rsid w:val="005942CA"/>
    <w:rsid w:val="00596642"/>
    <w:rsid w:val="005968A7"/>
    <w:rsid w:val="005A268C"/>
    <w:rsid w:val="005B2769"/>
    <w:rsid w:val="005B3B5D"/>
    <w:rsid w:val="005B4C4E"/>
    <w:rsid w:val="005B546E"/>
    <w:rsid w:val="005B719C"/>
    <w:rsid w:val="005C1AB2"/>
    <w:rsid w:val="005C45F2"/>
    <w:rsid w:val="005C4AE3"/>
    <w:rsid w:val="005C4E51"/>
    <w:rsid w:val="005C576A"/>
    <w:rsid w:val="005D43AD"/>
    <w:rsid w:val="005D4992"/>
    <w:rsid w:val="005E1008"/>
    <w:rsid w:val="005E4FD7"/>
    <w:rsid w:val="005E6768"/>
    <w:rsid w:val="005E79E8"/>
    <w:rsid w:val="005F08A4"/>
    <w:rsid w:val="005F15FC"/>
    <w:rsid w:val="005F1F44"/>
    <w:rsid w:val="005F26FD"/>
    <w:rsid w:val="005F4893"/>
    <w:rsid w:val="005F4A3C"/>
    <w:rsid w:val="005F4BAA"/>
    <w:rsid w:val="005F4F3F"/>
    <w:rsid w:val="006006BE"/>
    <w:rsid w:val="00601AEC"/>
    <w:rsid w:val="00601F3C"/>
    <w:rsid w:val="00603574"/>
    <w:rsid w:val="006059FA"/>
    <w:rsid w:val="0060606F"/>
    <w:rsid w:val="00606B04"/>
    <w:rsid w:val="00610271"/>
    <w:rsid w:val="00610FC2"/>
    <w:rsid w:val="00617B3A"/>
    <w:rsid w:val="00623959"/>
    <w:rsid w:val="00625DB8"/>
    <w:rsid w:val="0062707C"/>
    <w:rsid w:val="00632B97"/>
    <w:rsid w:val="00636D0C"/>
    <w:rsid w:val="00640C2B"/>
    <w:rsid w:val="00640DFD"/>
    <w:rsid w:val="0064258A"/>
    <w:rsid w:val="00645D46"/>
    <w:rsid w:val="00654B98"/>
    <w:rsid w:val="00654BF2"/>
    <w:rsid w:val="00656C06"/>
    <w:rsid w:val="0066074D"/>
    <w:rsid w:val="00661999"/>
    <w:rsid w:val="0066284C"/>
    <w:rsid w:val="006729E0"/>
    <w:rsid w:val="0067691E"/>
    <w:rsid w:val="0068544A"/>
    <w:rsid w:val="006903E5"/>
    <w:rsid w:val="0069681F"/>
    <w:rsid w:val="00697AE7"/>
    <w:rsid w:val="006A0802"/>
    <w:rsid w:val="006B1BBB"/>
    <w:rsid w:val="006B225E"/>
    <w:rsid w:val="006B438D"/>
    <w:rsid w:val="006B48E4"/>
    <w:rsid w:val="006B59AB"/>
    <w:rsid w:val="006B7A30"/>
    <w:rsid w:val="006C1D56"/>
    <w:rsid w:val="006C4C0B"/>
    <w:rsid w:val="006C7527"/>
    <w:rsid w:val="006D1912"/>
    <w:rsid w:val="006D2425"/>
    <w:rsid w:val="006D6A2D"/>
    <w:rsid w:val="006D6C70"/>
    <w:rsid w:val="006E1496"/>
    <w:rsid w:val="006E2062"/>
    <w:rsid w:val="006E6E10"/>
    <w:rsid w:val="006F0972"/>
    <w:rsid w:val="006F119C"/>
    <w:rsid w:val="006F490C"/>
    <w:rsid w:val="006F76DB"/>
    <w:rsid w:val="007000ED"/>
    <w:rsid w:val="007037A0"/>
    <w:rsid w:val="00705838"/>
    <w:rsid w:val="00711218"/>
    <w:rsid w:val="00712405"/>
    <w:rsid w:val="00721124"/>
    <w:rsid w:val="00721133"/>
    <w:rsid w:val="00723791"/>
    <w:rsid w:val="00723F7D"/>
    <w:rsid w:val="00725DB2"/>
    <w:rsid w:val="00731DE8"/>
    <w:rsid w:val="00733C3B"/>
    <w:rsid w:val="00733EB9"/>
    <w:rsid w:val="007468CD"/>
    <w:rsid w:val="00747958"/>
    <w:rsid w:val="00750D7B"/>
    <w:rsid w:val="00751579"/>
    <w:rsid w:val="007523B7"/>
    <w:rsid w:val="007529B9"/>
    <w:rsid w:val="00756DDF"/>
    <w:rsid w:val="00762B7C"/>
    <w:rsid w:val="007729AD"/>
    <w:rsid w:val="0077750E"/>
    <w:rsid w:val="007777C1"/>
    <w:rsid w:val="00781338"/>
    <w:rsid w:val="007814D2"/>
    <w:rsid w:val="00781BD8"/>
    <w:rsid w:val="00782F6B"/>
    <w:rsid w:val="00783790"/>
    <w:rsid w:val="007936F8"/>
    <w:rsid w:val="00793B2C"/>
    <w:rsid w:val="007A1CAD"/>
    <w:rsid w:val="007A54BD"/>
    <w:rsid w:val="007A59C2"/>
    <w:rsid w:val="007B4317"/>
    <w:rsid w:val="007B4C1C"/>
    <w:rsid w:val="007C3D0C"/>
    <w:rsid w:val="007C67CF"/>
    <w:rsid w:val="007D2B0F"/>
    <w:rsid w:val="007D626E"/>
    <w:rsid w:val="007D7363"/>
    <w:rsid w:val="007E0731"/>
    <w:rsid w:val="007E39D3"/>
    <w:rsid w:val="007E43D1"/>
    <w:rsid w:val="007E4808"/>
    <w:rsid w:val="007E78D5"/>
    <w:rsid w:val="007F6BAB"/>
    <w:rsid w:val="007F6DD8"/>
    <w:rsid w:val="0080107D"/>
    <w:rsid w:val="00801D15"/>
    <w:rsid w:val="008029A3"/>
    <w:rsid w:val="00804803"/>
    <w:rsid w:val="008049DC"/>
    <w:rsid w:val="00804A85"/>
    <w:rsid w:val="00806570"/>
    <w:rsid w:val="00813E52"/>
    <w:rsid w:val="008168A9"/>
    <w:rsid w:val="00816F8A"/>
    <w:rsid w:val="00825EC1"/>
    <w:rsid w:val="00830B07"/>
    <w:rsid w:val="008313AE"/>
    <w:rsid w:val="008315DA"/>
    <w:rsid w:val="00837273"/>
    <w:rsid w:val="008409BE"/>
    <w:rsid w:val="0084280E"/>
    <w:rsid w:val="0084361E"/>
    <w:rsid w:val="00845172"/>
    <w:rsid w:val="008455D3"/>
    <w:rsid w:val="00846A6C"/>
    <w:rsid w:val="00850A81"/>
    <w:rsid w:val="00851D87"/>
    <w:rsid w:val="008612DD"/>
    <w:rsid w:val="0086131A"/>
    <w:rsid w:val="00862FFC"/>
    <w:rsid w:val="00866CFE"/>
    <w:rsid w:val="00867503"/>
    <w:rsid w:val="00871DAD"/>
    <w:rsid w:val="00877604"/>
    <w:rsid w:val="00882AD9"/>
    <w:rsid w:val="00885D01"/>
    <w:rsid w:val="00887DE6"/>
    <w:rsid w:val="00894AB4"/>
    <w:rsid w:val="0089779B"/>
    <w:rsid w:val="008A226E"/>
    <w:rsid w:val="008A3B79"/>
    <w:rsid w:val="008A5909"/>
    <w:rsid w:val="008B0403"/>
    <w:rsid w:val="008B2107"/>
    <w:rsid w:val="008B28E4"/>
    <w:rsid w:val="008B42DC"/>
    <w:rsid w:val="008C0182"/>
    <w:rsid w:val="008C0829"/>
    <w:rsid w:val="008C3E38"/>
    <w:rsid w:val="008C6D45"/>
    <w:rsid w:val="008D0C15"/>
    <w:rsid w:val="008D1CB4"/>
    <w:rsid w:val="008D456F"/>
    <w:rsid w:val="008E06C1"/>
    <w:rsid w:val="008E31DD"/>
    <w:rsid w:val="008E4803"/>
    <w:rsid w:val="008E520C"/>
    <w:rsid w:val="008E58DF"/>
    <w:rsid w:val="008F0E0B"/>
    <w:rsid w:val="008F0F55"/>
    <w:rsid w:val="008F1220"/>
    <w:rsid w:val="008F26B0"/>
    <w:rsid w:val="008F38ED"/>
    <w:rsid w:val="008F4BA1"/>
    <w:rsid w:val="008F5098"/>
    <w:rsid w:val="008F7E8F"/>
    <w:rsid w:val="00900D38"/>
    <w:rsid w:val="009039B8"/>
    <w:rsid w:val="00903D4A"/>
    <w:rsid w:val="0090496B"/>
    <w:rsid w:val="0090506C"/>
    <w:rsid w:val="00910EDD"/>
    <w:rsid w:val="00912BDB"/>
    <w:rsid w:val="00913AA3"/>
    <w:rsid w:val="00914CDE"/>
    <w:rsid w:val="00921A8C"/>
    <w:rsid w:val="00924CFD"/>
    <w:rsid w:val="009272EC"/>
    <w:rsid w:val="00935C9C"/>
    <w:rsid w:val="00941E49"/>
    <w:rsid w:val="00953D91"/>
    <w:rsid w:val="009675F2"/>
    <w:rsid w:val="00970FD5"/>
    <w:rsid w:val="00971E83"/>
    <w:rsid w:val="009769C1"/>
    <w:rsid w:val="0097727F"/>
    <w:rsid w:val="009858FD"/>
    <w:rsid w:val="0099053A"/>
    <w:rsid w:val="00991A1D"/>
    <w:rsid w:val="00991B59"/>
    <w:rsid w:val="00994F59"/>
    <w:rsid w:val="00995E1C"/>
    <w:rsid w:val="009A1A75"/>
    <w:rsid w:val="009A2C1C"/>
    <w:rsid w:val="009A5E34"/>
    <w:rsid w:val="009B5F4C"/>
    <w:rsid w:val="009C5B73"/>
    <w:rsid w:val="009C6B73"/>
    <w:rsid w:val="009D2195"/>
    <w:rsid w:val="009D66DB"/>
    <w:rsid w:val="009E0882"/>
    <w:rsid w:val="009F1844"/>
    <w:rsid w:val="009F2257"/>
    <w:rsid w:val="009F73A9"/>
    <w:rsid w:val="009F7FAD"/>
    <w:rsid w:val="00A01FC1"/>
    <w:rsid w:val="00A05CBE"/>
    <w:rsid w:val="00A07709"/>
    <w:rsid w:val="00A078CB"/>
    <w:rsid w:val="00A10EE1"/>
    <w:rsid w:val="00A1419A"/>
    <w:rsid w:val="00A221B7"/>
    <w:rsid w:val="00A2419A"/>
    <w:rsid w:val="00A24F58"/>
    <w:rsid w:val="00A27303"/>
    <w:rsid w:val="00A31B9E"/>
    <w:rsid w:val="00A33B10"/>
    <w:rsid w:val="00A33D24"/>
    <w:rsid w:val="00A40510"/>
    <w:rsid w:val="00A44614"/>
    <w:rsid w:val="00A4611A"/>
    <w:rsid w:val="00A46349"/>
    <w:rsid w:val="00A47260"/>
    <w:rsid w:val="00A54DC3"/>
    <w:rsid w:val="00A56568"/>
    <w:rsid w:val="00A57E70"/>
    <w:rsid w:val="00A65E0B"/>
    <w:rsid w:val="00A739BB"/>
    <w:rsid w:val="00A75D31"/>
    <w:rsid w:val="00A772E3"/>
    <w:rsid w:val="00A829EB"/>
    <w:rsid w:val="00A92E17"/>
    <w:rsid w:val="00A94C65"/>
    <w:rsid w:val="00AA2D45"/>
    <w:rsid w:val="00AA4A4C"/>
    <w:rsid w:val="00AA4A69"/>
    <w:rsid w:val="00AA5709"/>
    <w:rsid w:val="00AA6AE1"/>
    <w:rsid w:val="00AB5883"/>
    <w:rsid w:val="00AB5ED2"/>
    <w:rsid w:val="00AC0628"/>
    <w:rsid w:val="00AC75B3"/>
    <w:rsid w:val="00AD2A00"/>
    <w:rsid w:val="00AD5B85"/>
    <w:rsid w:val="00AD7176"/>
    <w:rsid w:val="00AE09EA"/>
    <w:rsid w:val="00AE2B7F"/>
    <w:rsid w:val="00AF4476"/>
    <w:rsid w:val="00AF533D"/>
    <w:rsid w:val="00B00542"/>
    <w:rsid w:val="00B006C3"/>
    <w:rsid w:val="00B0088E"/>
    <w:rsid w:val="00B05E04"/>
    <w:rsid w:val="00B06D34"/>
    <w:rsid w:val="00B117FA"/>
    <w:rsid w:val="00B14BA2"/>
    <w:rsid w:val="00B158E7"/>
    <w:rsid w:val="00B17B7C"/>
    <w:rsid w:val="00B218C1"/>
    <w:rsid w:val="00B34AB0"/>
    <w:rsid w:val="00B34B58"/>
    <w:rsid w:val="00B35B16"/>
    <w:rsid w:val="00B4483A"/>
    <w:rsid w:val="00B476C8"/>
    <w:rsid w:val="00B6476A"/>
    <w:rsid w:val="00B73CF5"/>
    <w:rsid w:val="00B804EB"/>
    <w:rsid w:val="00B84670"/>
    <w:rsid w:val="00B85698"/>
    <w:rsid w:val="00B92C1C"/>
    <w:rsid w:val="00B92FA9"/>
    <w:rsid w:val="00B97AB0"/>
    <w:rsid w:val="00B97E9C"/>
    <w:rsid w:val="00BA1B39"/>
    <w:rsid w:val="00BA2D40"/>
    <w:rsid w:val="00BA3C10"/>
    <w:rsid w:val="00BA49B3"/>
    <w:rsid w:val="00BA63D2"/>
    <w:rsid w:val="00BA6434"/>
    <w:rsid w:val="00BB4A17"/>
    <w:rsid w:val="00BB6CBB"/>
    <w:rsid w:val="00BC1D68"/>
    <w:rsid w:val="00BC3A2E"/>
    <w:rsid w:val="00BC4829"/>
    <w:rsid w:val="00BD054A"/>
    <w:rsid w:val="00BD0C10"/>
    <w:rsid w:val="00BD31F5"/>
    <w:rsid w:val="00BD4804"/>
    <w:rsid w:val="00BD5790"/>
    <w:rsid w:val="00BD63E6"/>
    <w:rsid w:val="00BD7AAC"/>
    <w:rsid w:val="00BD7B5B"/>
    <w:rsid w:val="00BD7EE3"/>
    <w:rsid w:val="00BE0EBA"/>
    <w:rsid w:val="00BE229B"/>
    <w:rsid w:val="00BF0587"/>
    <w:rsid w:val="00BF7320"/>
    <w:rsid w:val="00BF734F"/>
    <w:rsid w:val="00C05E20"/>
    <w:rsid w:val="00C130BC"/>
    <w:rsid w:val="00C1379D"/>
    <w:rsid w:val="00C13DF3"/>
    <w:rsid w:val="00C13F29"/>
    <w:rsid w:val="00C146E0"/>
    <w:rsid w:val="00C25054"/>
    <w:rsid w:val="00C276AD"/>
    <w:rsid w:val="00C2775D"/>
    <w:rsid w:val="00C4208A"/>
    <w:rsid w:val="00C45EB3"/>
    <w:rsid w:val="00C51332"/>
    <w:rsid w:val="00C52892"/>
    <w:rsid w:val="00C5289A"/>
    <w:rsid w:val="00C52E4C"/>
    <w:rsid w:val="00C56C4C"/>
    <w:rsid w:val="00C57D7D"/>
    <w:rsid w:val="00C628BA"/>
    <w:rsid w:val="00C63403"/>
    <w:rsid w:val="00C655FF"/>
    <w:rsid w:val="00C67ED5"/>
    <w:rsid w:val="00C70030"/>
    <w:rsid w:val="00C7105A"/>
    <w:rsid w:val="00C75963"/>
    <w:rsid w:val="00C80C67"/>
    <w:rsid w:val="00C819AE"/>
    <w:rsid w:val="00C90EB0"/>
    <w:rsid w:val="00C90EFB"/>
    <w:rsid w:val="00C9292C"/>
    <w:rsid w:val="00C94807"/>
    <w:rsid w:val="00C96109"/>
    <w:rsid w:val="00CA62F5"/>
    <w:rsid w:val="00CA7C70"/>
    <w:rsid w:val="00CB5301"/>
    <w:rsid w:val="00CB7E49"/>
    <w:rsid w:val="00CC222A"/>
    <w:rsid w:val="00CC69BD"/>
    <w:rsid w:val="00CC762B"/>
    <w:rsid w:val="00CD2B08"/>
    <w:rsid w:val="00CD5006"/>
    <w:rsid w:val="00CD6D12"/>
    <w:rsid w:val="00CE1D40"/>
    <w:rsid w:val="00CF40DB"/>
    <w:rsid w:val="00CF4706"/>
    <w:rsid w:val="00D0062C"/>
    <w:rsid w:val="00D05834"/>
    <w:rsid w:val="00D121B6"/>
    <w:rsid w:val="00D12A0D"/>
    <w:rsid w:val="00D13DA7"/>
    <w:rsid w:val="00D14B6C"/>
    <w:rsid w:val="00D20920"/>
    <w:rsid w:val="00D2177B"/>
    <w:rsid w:val="00D23640"/>
    <w:rsid w:val="00D2796B"/>
    <w:rsid w:val="00D30A08"/>
    <w:rsid w:val="00D30B60"/>
    <w:rsid w:val="00D3657E"/>
    <w:rsid w:val="00D37032"/>
    <w:rsid w:val="00D3712B"/>
    <w:rsid w:val="00D46BE1"/>
    <w:rsid w:val="00D47FD5"/>
    <w:rsid w:val="00D53153"/>
    <w:rsid w:val="00D560D2"/>
    <w:rsid w:val="00D62C95"/>
    <w:rsid w:val="00D6311C"/>
    <w:rsid w:val="00D635FA"/>
    <w:rsid w:val="00D648EB"/>
    <w:rsid w:val="00D661A8"/>
    <w:rsid w:val="00D705BC"/>
    <w:rsid w:val="00D82928"/>
    <w:rsid w:val="00D82D9F"/>
    <w:rsid w:val="00D8444A"/>
    <w:rsid w:val="00D84841"/>
    <w:rsid w:val="00D91FF0"/>
    <w:rsid w:val="00DA1344"/>
    <w:rsid w:val="00DA1DCD"/>
    <w:rsid w:val="00DA38FA"/>
    <w:rsid w:val="00DB1001"/>
    <w:rsid w:val="00DB54B8"/>
    <w:rsid w:val="00DC0043"/>
    <w:rsid w:val="00DC1229"/>
    <w:rsid w:val="00DC1573"/>
    <w:rsid w:val="00DC2820"/>
    <w:rsid w:val="00DC396B"/>
    <w:rsid w:val="00DD04C0"/>
    <w:rsid w:val="00DD15D1"/>
    <w:rsid w:val="00DD435D"/>
    <w:rsid w:val="00DD6FAC"/>
    <w:rsid w:val="00DE7AD5"/>
    <w:rsid w:val="00DF1F93"/>
    <w:rsid w:val="00DF4CD1"/>
    <w:rsid w:val="00DF66CC"/>
    <w:rsid w:val="00DF7200"/>
    <w:rsid w:val="00E01C9B"/>
    <w:rsid w:val="00E07ADD"/>
    <w:rsid w:val="00E10777"/>
    <w:rsid w:val="00E12AF5"/>
    <w:rsid w:val="00E1384D"/>
    <w:rsid w:val="00E141BA"/>
    <w:rsid w:val="00E14399"/>
    <w:rsid w:val="00E16E61"/>
    <w:rsid w:val="00E20F4E"/>
    <w:rsid w:val="00E221B8"/>
    <w:rsid w:val="00E22753"/>
    <w:rsid w:val="00E35DA8"/>
    <w:rsid w:val="00E3792C"/>
    <w:rsid w:val="00E41404"/>
    <w:rsid w:val="00E444C0"/>
    <w:rsid w:val="00E5129F"/>
    <w:rsid w:val="00E53B8E"/>
    <w:rsid w:val="00E561E1"/>
    <w:rsid w:val="00E56E86"/>
    <w:rsid w:val="00E64AD2"/>
    <w:rsid w:val="00E679F8"/>
    <w:rsid w:val="00E70206"/>
    <w:rsid w:val="00E70E42"/>
    <w:rsid w:val="00E7153B"/>
    <w:rsid w:val="00E71C95"/>
    <w:rsid w:val="00E724C5"/>
    <w:rsid w:val="00E73071"/>
    <w:rsid w:val="00E75559"/>
    <w:rsid w:val="00E75783"/>
    <w:rsid w:val="00E82534"/>
    <w:rsid w:val="00E841CE"/>
    <w:rsid w:val="00E8430E"/>
    <w:rsid w:val="00E8612F"/>
    <w:rsid w:val="00E90759"/>
    <w:rsid w:val="00E9172C"/>
    <w:rsid w:val="00EA06E9"/>
    <w:rsid w:val="00EA5F59"/>
    <w:rsid w:val="00EA5F82"/>
    <w:rsid w:val="00EA6F9F"/>
    <w:rsid w:val="00EB53AE"/>
    <w:rsid w:val="00EB5472"/>
    <w:rsid w:val="00EC0C17"/>
    <w:rsid w:val="00EC104F"/>
    <w:rsid w:val="00EC41DA"/>
    <w:rsid w:val="00EC6E79"/>
    <w:rsid w:val="00ED00A6"/>
    <w:rsid w:val="00ED0190"/>
    <w:rsid w:val="00ED1068"/>
    <w:rsid w:val="00ED7762"/>
    <w:rsid w:val="00EE0319"/>
    <w:rsid w:val="00EE1AAE"/>
    <w:rsid w:val="00EE42E9"/>
    <w:rsid w:val="00EE67C0"/>
    <w:rsid w:val="00EF2446"/>
    <w:rsid w:val="00EF3718"/>
    <w:rsid w:val="00F001A0"/>
    <w:rsid w:val="00F132ED"/>
    <w:rsid w:val="00F13EB0"/>
    <w:rsid w:val="00F15D95"/>
    <w:rsid w:val="00F2232B"/>
    <w:rsid w:val="00F22A43"/>
    <w:rsid w:val="00F24F3F"/>
    <w:rsid w:val="00F3094D"/>
    <w:rsid w:val="00F31376"/>
    <w:rsid w:val="00F31F73"/>
    <w:rsid w:val="00F362B9"/>
    <w:rsid w:val="00F41D56"/>
    <w:rsid w:val="00F50A7A"/>
    <w:rsid w:val="00F61AAF"/>
    <w:rsid w:val="00F62016"/>
    <w:rsid w:val="00F62788"/>
    <w:rsid w:val="00F66504"/>
    <w:rsid w:val="00F723D0"/>
    <w:rsid w:val="00F771AE"/>
    <w:rsid w:val="00F80D32"/>
    <w:rsid w:val="00F8208D"/>
    <w:rsid w:val="00F851B0"/>
    <w:rsid w:val="00F8561F"/>
    <w:rsid w:val="00F85AEB"/>
    <w:rsid w:val="00F86C4C"/>
    <w:rsid w:val="00F91C68"/>
    <w:rsid w:val="00F93473"/>
    <w:rsid w:val="00F95C49"/>
    <w:rsid w:val="00F96042"/>
    <w:rsid w:val="00FA156E"/>
    <w:rsid w:val="00FA4CE2"/>
    <w:rsid w:val="00FB1509"/>
    <w:rsid w:val="00FB1E83"/>
    <w:rsid w:val="00FB23F0"/>
    <w:rsid w:val="00FB72C6"/>
    <w:rsid w:val="00FC16C0"/>
    <w:rsid w:val="00FC18A2"/>
    <w:rsid w:val="00FC1F99"/>
    <w:rsid w:val="00FC4EAE"/>
    <w:rsid w:val="00FC5A81"/>
    <w:rsid w:val="00FD2484"/>
    <w:rsid w:val="00FD48BE"/>
    <w:rsid w:val="00FE10E3"/>
    <w:rsid w:val="00FE1D3C"/>
    <w:rsid w:val="00FE2FE6"/>
    <w:rsid w:val="00FE380C"/>
    <w:rsid w:val="00FE6953"/>
    <w:rsid w:val="00FF12FA"/>
    <w:rsid w:val="00FF3F10"/>
    <w:rsid w:val="0120418D"/>
    <w:rsid w:val="01277D3A"/>
    <w:rsid w:val="014D2A71"/>
    <w:rsid w:val="01664492"/>
    <w:rsid w:val="01706C63"/>
    <w:rsid w:val="017C026E"/>
    <w:rsid w:val="01882D3E"/>
    <w:rsid w:val="01BE6517"/>
    <w:rsid w:val="01E91994"/>
    <w:rsid w:val="01FA2125"/>
    <w:rsid w:val="021715BE"/>
    <w:rsid w:val="02443951"/>
    <w:rsid w:val="024878D8"/>
    <w:rsid w:val="02534550"/>
    <w:rsid w:val="02704947"/>
    <w:rsid w:val="027C4748"/>
    <w:rsid w:val="02A01F78"/>
    <w:rsid w:val="02B34CD3"/>
    <w:rsid w:val="02C8546A"/>
    <w:rsid w:val="02E10442"/>
    <w:rsid w:val="02FC1300"/>
    <w:rsid w:val="032869F6"/>
    <w:rsid w:val="032E3B6B"/>
    <w:rsid w:val="033B5838"/>
    <w:rsid w:val="035102FB"/>
    <w:rsid w:val="03923CCE"/>
    <w:rsid w:val="04001419"/>
    <w:rsid w:val="04087151"/>
    <w:rsid w:val="041D5A9C"/>
    <w:rsid w:val="045E1770"/>
    <w:rsid w:val="04764068"/>
    <w:rsid w:val="04977292"/>
    <w:rsid w:val="04BA6DBA"/>
    <w:rsid w:val="04D02FBF"/>
    <w:rsid w:val="04DD4D51"/>
    <w:rsid w:val="04DE2B7C"/>
    <w:rsid w:val="04F50280"/>
    <w:rsid w:val="050128A1"/>
    <w:rsid w:val="0509229B"/>
    <w:rsid w:val="051A6B06"/>
    <w:rsid w:val="05285D74"/>
    <w:rsid w:val="05411972"/>
    <w:rsid w:val="05635593"/>
    <w:rsid w:val="05E25C5A"/>
    <w:rsid w:val="05F70CC2"/>
    <w:rsid w:val="060A6FDB"/>
    <w:rsid w:val="061C3167"/>
    <w:rsid w:val="062156EE"/>
    <w:rsid w:val="062679A1"/>
    <w:rsid w:val="069259AD"/>
    <w:rsid w:val="06FC24E8"/>
    <w:rsid w:val="07102700"/>
    <w:rsid w:val="073B306C"/>
    <w:rsid w:val="074D6DCA"/>
    <w:rsid w:val="075F0C85"/>
    <w:rsid w:val="075F7DDB"/>
    <w:rsid w:val="07913377"/>
    <w:rsid w:val="07945CC3"/>
    <w:rsid w:val="07AF4D7F"/>
    <w:rsid w:val="07F078FE"/>
    <w:rsid w:val="080F7158"/>
    <w:rsid w:val="081D0779"/>
    <w:rsid w:val="08212D83"/>
    <w:rsid w:val="0832483A"/>
    <w:rsid w:val="08427A44"/>
    <w:rsid w:val="086A45F4"/>
    <w:rsid w:val="086F0C71"/>
    <w:rsid w:val="08997C0A"/>
    <w:rsid w:val="08B359D6"/>
    <w:rsid w:val="08B726F4"/>
    <w:rsid w:val="08C57470"/>
    <w:rsid w:val="090279E9"/>
    <w:rsid w:val="091E4E0E"/>
    <w:rsid w:val="09285B56"/>
    <w:rsid w:val="092F5CBC"/>
    <w:rsid w:val="0955682A"/>
    <w:rsid w:val="09B93F16"/>
    <w:rsid w:val="09D5325B"/>
    <w:rsid w:val="09F84762"/>
    <w:rsid w:val="0A1F6353"/>
    <w:rsid w:val="0A662DBC"/>
    <w:rsid w:val="0AA33625"/>
    <w:rsid w:val="0AB37BCD"/>
    <w:rsid w:val="0AD17310"/>
    <w:rsid w:val="0B092B62"/>
    <w:rsid w:val="0B1659C5"/>
    <w:rsid w:val="0B38266A"/>
    <w:rsid w:val="0B791ECD"/>
    <w:rsid w:val="0BF755AA"/>
    <w:rsid w:val="0C13406B"/>
    <w:rsid w:val="0C395418"/>
    <w:rsid w:val="0C582E51"/>
    <w:rsid w:val="0C9A2DC1"/>
    <w:rsid w:val="0C9C7C07"/>
    <w:rsid w:val="0C9E6090"/>
    <w:rsid w:val="0C9F1876"/>
    <w:rsid w:val="0CB6747F"/>
    <w:rsid w:val="0CC65185"/>
    <w:rsid w:val="0CD464AA"/>
    <w:rsid w:val="0CFD33F5"/>
    <w:rsid w:val="0D15078F"/>
    <w:rsid w:val="0D3F6A52"/>
    <w:rsid w:val="0D547256"/>
    <w:rsid w:val="0D9051DE"/>
    <w:rsid w:val="0D9E4409"/>
    <w:rsid w:val="0DAB55D4"/>
    <w:rsid w:val="0DCC4996"/>
    <w:rsid w:val="0DD7128D"/>
    <w:rsid w:val="0E0537F4"/>
    <w:rsid w:val="0E124920"/>
    <w:rsid w:val="0E4B4AE3"/>
    <w:rsid w:val="0E662E41"/>
    <w:rsid w:val="0E7F2C97"/>
    <w:rsid w:val="0E99683E"/>
    <w:rsid w:val="0EB877DF"/>
    <w:rsid w:val="0EC021AC"/>
    <w:rsid w:val="0EC64CCB"/>
    <w:rsid w:val="0EF858B2"/>
    <w:rsid w:val="0F0E6F25"/>
    <w:rsid w:val="0F534EEF"/>
    <w:rsid w:val="0F541E3D"/>
    <w:rsid w:val="0F676355"/>
    <w:rsid w:val="0F726313"/>
    <w:rsid w:val="0F7A616A"/>
    <w:rsid w:val="0F8F377D"/>
    <w:rsid w:val="0FC52AEC"/>
    <w:rsid w:val="10534234"/>
    <w:rsid w:val="1075191D"/>
    <w:rsid w:val="10805BC6"/>
    <w:rsid w:val="10843E4F"/>
    <w:rsid w:val="10AD4F82"/>
    <w:rsid w:val="10BB032D"/>
    <w:rsid w:val="10BE06F6"/>
    <w:rsid w:val="10BE331C"/>
    <w:rsid w:val="10C05CE2"/>
    <w:rsid w:val="10C16B76"/>
    <w:rsid w:val="111A73DB"/>
    <w:rsid w:val="112E6B87"/>
    <w:rsid w:val="113930CB"/>
    <w:rsid w:val="115362AF"/>
    <w:rsid w:val="1165342C"/>
    <w:rsid w:val="11AC4CEA"/>
    <w:rsid w:val="11DC4739"/>
    <w:rsid w:val="11EC60D5"/>
    <w:rsid w:val="11FE0336"/>
    <w:rsid w:val="123A7879"/>
    <w:rsid w:val="123E39D8"/>
    <w:rsid w:val="12671FFA"/>
    <w:rsid w:val="127910A1"/>
    <w:rsid w:val="127B7C80"/>
    <w:rsid w:val="128B29F4"/>
    <w:rsid w:val="12AC4632"/>
    <w:rsid w:val="12D67980"/>
    <w:rsid w:val="12EF6BD7"/>
    <w:rsid w:val="130E0C47"/>
    <w:rsid w:val="13145593"/>
    <w:rsid w:val="13300B33"/>
    <w:rsid w:val="133626E1"/>
    <w:rsid w:val="13441468"/>
    <w:rsid w:val="1357764B"/>
    <w:rsid w:val="13605EF3"/>
    <w:rsid w:val="138539D4"/>
    <w:rsid w:val="13AF3C06"/>
    <w:rsid w:val="13B9447A"/>
    <w:rsid w:val="13C73AD7"/>
    <w:rsid w:val="140D1947"/>
    <w:rsid w:val="141100F1"/>
    <w:rsid w:val="14121DAF"/>
    <w:rsid w:val="14346A67"/>
    <w:rsid w:val="144A0A3E"/>
    <w:rsid w:val="147D004D"/>
    <w:rsid w:val="148C02B0"/>
    <w:rsid w:val="149B33BD"/>
    <w:rsid w:val="149E752B"/>
    <w:rsid w:val="14A657F7"/>
    <w:rsid w:val="14D6137D"/>
    <w:rsid w:val="14FB56DC"/>
    <w:rsid w:val="15102D9A"/>
    <w:rsid w:val="153709B6"/>
    <w:rsid w:val="15AB7226"/>
    <w:rsid w:val="15C154CF"/>
    <w:rsid w:val="15CC7078"/>
    <w:rsid w:val="15DE13B5"/>
    <w:rsid w:val="162C751E"/>
    <w:rsid w:val="16BF374C"/>
    <w:rsid w:val="16C03494"/>
    <w:rsid w:val="16C37A21"/>
    <w:rsid w:val="16C46D32"/>
    <w:rsid w:val="170519EA"/>
    <w:rsid w:val="170F0144"/>
    <w:rsid w:val="171F37FA"/>
    <w:rsid w:val="17A63E3F"/>
    <w:rsid w:val="17A90075"/>
    <w:rsid w:val="17B106D6"/>
    <w:rsid w:val="17E10869"/>
    <w:rsid w:val="184A7726"/>
    <w:rsid w:val="185F3B8A"/>
    <w:rsid w:val="18A0127C"/>
    <w:rsid w:val="18E123E3"/>
    <w:rsid w:val="18E20019"/>
    <w:rsid w:val="18ED4A5B"/>
    <w:rsid w:val="18F0353A"/>
    <w:rsid w:val="19453016"/>
    <w:rsid w:val="194610BB"/>
    <w:rsid w:val="19833069"/>
    <w:rsid w:val="19845C75"/>
    <w:rsid w:val="19B76C46"/>
    <w:rsid w:val="19B92CD7"/>
    <w:rsid w:val="19DF76CC"/>
    <w:rsid w:val="1A134258"/>
    <w:rsid w:val="1A1B18F3"/>
    <w:rsid w:val="1A2D6818"/>
    <w:rsid w:val="1A4D39F6"/>
    <w:rsid w:val="1A975879"/>
    <w:rsid w:val="1A981EAE"/>
    <w:rsid w:val="1AA650CC"/>
    <w:rsid w:val="1AA9514B"/>
    <w:rsid w:val="1B2B569B"/>
    <w:rsid w:val="1B344F6D"/>
    <w:rsid w:val="1B483499"/>
    <w:rsid w:val="1B5327AA"/>
    <w:rsid w:val="1B672442"/>
    <w:rsid w:val="1B6F1E75"/>
    <w:rsid w:val="1B7638F8"/>
    <w:rsid w:val="1BBA49C3"/>
    <w:rsid w:val="1BDB2463"/>
    <w:rsid w:val="1BE870EB"/>
    <w:rsid w:val="1BF2798C"/>
    <w:rsid w:val="1C28247F"/>
    <w:rsid w:val="1C2A6C2E"/>
    <w:rsid w:val="1C4533A7"/>
    <w:rsid w:val="1C536A08"/>
    <w:rsid w:val="1C675A06"/>
    <w:rsid w:val="1C9A0F05"/>
    <w:rsid w:val="1CC52D76"/>
    <w:rsid w:val="1D170808"/>
    <w:rsid w:val="1D1A1F29"/>
    <w:rsid w:val="1D770CE0"/>
    <w:rsid w:val="1D9064DA"/>
    <w:rsid w:val="1DB00684"/>
    <w:rsid w:val="1DD54327"/>
    <w:rsid w:val="1DD73F21"/>
    <w:rsid w:val="1DFA0D1B"/>
    <w:rsid w:val="1E241183"/>
    <w:rsid w:val="1E616C70"/>
    <w:rsid w:val="1E663787"/>
    <w:rsid w:val="1E6F1CE1"/>
    <w:rsid w:val="1E734F4B"/>
    <w:rsid w:val="1E8A3099"/>
    <w:rsid w:val="1E922178"/>
    <w:rsid w:val="1EA87CB1"/>
    <w:rsid w:val="1EB25EF4"/>
    <w:rsid w:val="1EC43EEC"/>
    <w:rsid w:val="1ED63A06"/>
    <w:rsid w:val="1EE83792"/>
    <w:rsid w:val="1EF769CD"/>
    <w:rsid w:val="1F577BA2"/>
    <w:rsid w:val="1F610340"/>
    <w:rsid w:val="1F964EE0"/>
    <w:rsid w:val="1FEC17BB"/>
    <w:rsid w:val="1FF64400"/>
    <w:rsid w:val="1FFE4946"/>
    <w:rsid w:val="201552B6"/>
    <w:rsid w:val="204A2894"/>
    <w:rsid w:val="204A6C5B"/>
    <w:rsid w:val="207F3B4C"/>
    <w:rsid w:val="208E5662"/>
    <w:rsid w:val="20AA6FD2"/>
    <w:rsid w:val="20C7181A"/>
    <w:rsid w:val="20C84C37"/>
    <w:rsid w:val="20F304B0"/>
    <w:rsid w:val="20FD2016"/>
    <w:rsid w:val="21037712"/>
    <w:rsid w:val="2129610F"/>
    <w:rsid w:val="21374906"/>
    <w:rsid w:val="2138592C"/>
    <w:rsid w:val="213E2469"/>
    <w:rsid w:val="21420ADD"/>
    <w:rsid w:val="21566EC6"/>
    <w:rsid w:val="21813678"/>
    <w:rsid w:val="21B52B49"/>
    <w:rsid w:val="21C1581E"/>
    <w:rsid w:val="21D843DB"/>
    <w:rsid w:val="22104DC1"/>
    <w:rsid w:val="22107978"/>
    <w:rsid w:val="22133123"/>
    <w:rsid w:val="222B0D77"/>
    <w:rsid w:val="222F1702"/>
    <w:rsid w:val="224772C9"/>
    <w:rsid w:val="226F12EC"/>
    <w:rsid w:val="2307347B"/>
    <w:rsid w:val="23D327A2"/>
    <w:rsid w:val="23E377A0"/>
    <w:rsid w:val="23F97C39"/>
    <w:rsid w:val="242C14C4"/>
    <w:rsid w:val="243F18A8"/>
    <w:rsid w:val="24E44CFE"/>
    <w:rsid w:val="24FD2F67"/>
    <w:rsid w:val="2534215E"/>
    <w:rsid w:val="25346E99"/>
    <w:rsid w:val="254668F7"/>
    <w:rsid w:val="25480671"/>
    <w:rsid w:val="2580476C"/>
    <w:rsid w:val="25836E84"/>
    <w:rsid w:val="25890B55"/>
    <w:rsid w:val="25B470AE"/>
    <w:rsid w:val="260A230E"/>
    <w:rsid w:val="2663465B"/>
    <w:rsid w:val="266B0AEB"/>
    <w:rsid w:val="26800C16"/>
    <w:rsid w:val="2687495C"/>
    <w:rsid w:val="26BC57D1"/>
    <w:rsid w:val="26D506CC"/>
    <w:rsid w:val="26FD26CB"/>
    <w:rsid w:val="26FF577E"/>
    <w:rsid w:val="27146810"/>
    <w:rsid w:val="272E38E1"/>
    <w:rsid w:val="27B93184"/>
    <w:rsid w:val="28063762"/>
    <w:rsid w:val="2818620B"/>
    <w:rsid w:val="284B3466"/>
    <w:rsid w:val="286015C5"/>
    <w:rsid w:val="286B2D3E"/>
    <w:rsid w:val="28706A2C"/>
    <w:rsid w:val="28831D87"/>
    <w:rsid w:val="28A7451C"/>
    <w:rsid w:val="28E34F51"/>
    <w:rsid w:val="29063A18"/>
    <w:rsid w:val="290859E6"/>
    <w:rsid w:val="292B4603"/>
    <w:rsid w:val="294F3FFC"/>
    <w:rsid w:val="29776717"/>
    <w:rsid w:val="29A234BF"/>
    <w:rsid w:val="29C95EFC"/>
    <w:rsid w:val="2A02303D"/>
    <w:rsid w:val="2A215AE4"/>
    <w:rsid w:val="2A360FB4"/>
    <w:rsid w:val="2A52159E"/>
    <w:rsid w:val="2A811A63"/>
    <w:rsid w:val="2AAD50B7"/>
    <w:rsid w:val="2ABB1D67"/>
    <w:rsid w:val="2ADC4405"/>
    <w:rsid w:val="2AF22028"/>
    <w:rsid w:val="2AFC60EA"/>
    <w:rsid w:val="2B877717"/>
    <w:rsid w:val="2BB81C29"/>
    <w:rsid w:val="2BCD3395"/>
    <w:rsid w:val="2BF20EE4"/>
    <w:rsid w:val="2C4219EE"/>
    <w:rsid w:val="2C872C66"/>
    <w:rsid w:val="2C91220E"/>
    <w:rsid w:val="2CFC6FFE"/>
    <w:rsid w:val="2D0A4947"/>
    <w:rsid w:val="2D1E77DF"/>
    <w:rsid w:val="2D3223D6"/>
    <w:rsid w:val="2D480BD5"/>
    <w:rsid w:val="2D680297"/>
    <w:rsid w:val="2DC3698E"/>
    <w:rsid w:val="2DE4708D"/>
    <w:rsid w:val="2DF20B5C"/>
    <w:rsid w:val="2E273558"/>
    <w:rsid w:val="2E31272F"/>
    <w:rsid w:val="2E35032E"/>
    <w:rsid w:val="2E5B3E9C"/>
    <w:rsid w:val="2E80172B"/>
    <w:rsid w:val="2E8D4EB8"/>
    <w:rsid w:val="2ED14F4B"/>
    <w:rsid w:val="2EED5969"/>
    <w:rsid w:val="2F7876DD"/>
    <w:rsid w:val="2F923F20"/>
    <w:rsid w:val="2F96625B"/>
    <w:rsid w:val="2FD7431C"/>
    <w:rsid w:val="2FE0653E"/>
    <w:rsid w:val="2FEA2C12"/>
    <w:rsid w:val="30101102"/>
    <w:rsid w:val="30193044"/>
    <w:rsid w:val="302F14C5"/>
    <w:rsid w:val="304F2F15"/>
    <w:rsid w:val="305A6BCB"/>
    <w:rsid w:val="306D0856"/>
    <w:rsid w:val="30851A74"/>
    <w:rsid w:val="308801A1"/>
    <w:rsid w:val="30927BBE"/>
    <w:rsid w:val="30C509B7"/>
    <w:rsid w:val="30CE10A6"/>
    <w:rsid w:val="30DF2BC3"/>
    <w:rsid w:val="30F7210D"/>
    <w:rsid w:val="30F86BA2"/>
    <w:rsid w:val="31074D7E"/>
    <w:rsid w:val="311B1381"/>
    <w:rsid w:val="31200613"/>
    <w:rsid w:val="31223C06"/>
    <w:rsid w:val="312B1C2F"/>
    <w:rsid w:val="313E3171"/>
    <w:rsid w:val="314C4A5B"/>
    <w:rsid w:val="31780B4F"/>
    <w:rsid w:val="31AC33AE"/>
    <w:rsid w:val="320352B8"/>
    <w:rsid w:val="322F4152"/>
    <w:rsid w:val="32461470"/>
    <w:rsid w:val="3282327B"/>
    <w:rsid w:val="32992AD9"/>
    <w:rsid w:val="329B0D2C"/>
    <w:rsid w:val="32B15DA4"/>
    <w:rsid w:val="32B978BA"/>
    <w:rsid w:val="32EC7BE5"/>
    <w:rsid w:val="32EE2CBF"/>
    <w:rsid w:val="32EE49A7"/>
    <w:rsid w:val="32F400F1"/>
    <w:rsid w:val="33223003"/>
    <w:rsid w:val="33595862"/>
    <w:rsid w:val="33E42C33"/>
    <w:rsid w:val="342E39B8"/>
    <w:rsid w:val="343C5323"/>
    <w:rsid w:val="344C1838"/>
    <w:rsid w:val="34645B4B"/>
    <w:rsid w:val="34BF22B8"/>
    <w:rsid w:val="34DF3DD9"/>
    <w:rsid w:val="34E777CC"/>
    <w:rsid w:val="34EA4EFB"/>
    <w:rsid w:val="350575C5"/>
    <w:rsid w:val="35164926"/>
    <w:rsid w:val="358C4996"/>
    <w:rsid w:val="35C15C0E"/>
    <w:rsid w:val="35C32D8C"/>
    <w:rsid w:val="361F78A4"/>
    <w:rsid w:val="36826B9F"/>
    <w:rsid w:val="368E4665"/>
    <w:rsid w:val="36AE1437"/>
    <w:rsid w:val="36C671F8"/>
    <w:rsid w:val="36E33914"/>
    <w:rsid w:val="36EC1CEB"/>
    <w:rsid w:val="36F91BAE"/>
    <w:rsid w:val="36FF1A2D"/>
    <w:rsid w:val="373805EF"/>
    <w:rsid w:val="37733E87"/>
    <w:rsid w:val="3779540A"/>
    <w:rsid w:val="37850DB6"/>
    <w:rsid w:val="37957926"/>
    <w:rsid w:val="37DE5A4E"/>
    <w:rsid w:val="38036D60"/>
    <w:rsid w:val="380C014B"/>
    <w:rsid w:val="380C31A9"/>
    <w:rsid w:val="38156A9D"/>
    <w:rsid w:val="3836446D"/>
    <w:rsid w:val="38956BD7"/>
    <w:rsid w:val="389C6DC6"/>
    <w:rsid w:val="38B07FC3"/>
    <w:rsid w:val="38B371D8"/>
    <w:rsid w:val="38C37DE1"/>
    <w:rsid w:val="38D07C19"/>
    <w:rsid w:val="38D96D53"/>
    <w:rsid w:val="38F107EA"/>
    <w:rsid w:val="39074D32"/>
    <w:rsid w:val="396106E4"/>
    <w:rsid w:val="39645EF5"/>
    <w:rsid w:val="39646DF0"/>
    <w:rsid w:val="39900FC9"/>
    <w:rsid w:val="39A36197"/>
    <w:rsid w:val="39C032E5"/>
    <w:rsid w:val="39D709A6"/>
    <w:rsid w:val="39D83B41"/>
    <w:rsid w:val="39E20175"/>
    <w:rsid w:val="39E746EA"/>
    <w:rsid w:val="3A307967"/>
    <w:rsid w:val="3A6E2CB0"/>
    <w:rsid w:val="3A934FF9"/>
    <w:rsid w:val="3A975A59"/>
    <w:rsid w:val="3A9D68DE"/>
    <w:rsid w:val="3AA43061"/>
    <w:rsid w:val="3AB45358"/>
    <w:rsid w:val="3AD574E8"/>
    <w:rsid w:val="3ADE15A3"/>
    <w:rsid w:val="3AE96FF8"/>
    <w:rsid w:val="3B1F3912"/>
    <w:rsid w:val="3B3A1C76"/>
    <w:rsid w:val="3B4C6D5B"/>
    <w:rsid w:val="3B5B13D4"/>
    <w:rsid w:val="3B752BFF"/>
    <w:rsid w:val="3B760027"/>
    <w:rsid w:val="3BD23356"/>
    <w:rsid w:val="3BE83809"/>
    <w:rsid w:val="3BF2408B"/>
    <w:rsid w:val="3C2E48FC"/>
    <w:rsid w:val="3C5857F0"/>
    <w:rsid w:val="3C5D0D93"/>
    <w:rsid w:val="3C6752BF"/>
    <w:rsid w:val="3C6B42A6"/>
    <w:rsid w:val="3C6C5921"/>
    <w:rsid w:val="3C7F635B"/>
    <w:rsid w:val="3C985056"/>
    <w:rsid w:val="3CC1231A"/>
    <w:rsid w:val="3CC67420"/>
    <w:rsid w:val="3CF63DAB"/>
    <w:rsid w:val="3D2B45A7"/>
    <w:rsid w:val="3D3667FD"/>
    <w:rsid w:val="3D6D0D80"/>
    <w:rsid w:val="3D7774A0"/>
    <w:rsid w:val="3DB979ED"/>
    <w:rsid w:val="3DD30CAE"/>
    <w:rsid w:val="3DF14810"/>
    <w:rsid w:val="3DFF442A"/>
    <w:rsid w:val="3DFF6B2F"/>
    <w:rsid w:val="3E0206D0"/>
    <w:rsid w:val="3E2B6618"/>
    <w:rsid w:val="3E475C68"/>
    <w:rsid w:val="3E4934B4"/>
    <w:rsid w:val="3E725F6E"/>
    <w:rsid w:val="3E76165C"/>
    <w:rsid w:val="3E786BE3"/>
    <w:rsid w:val="3E7A5966"/>
    <w:rsid w:val="3E9C7ECD"/>
    <w:rsid w:val="3EB45871"/>
    <w:rsid w:val="3ECC3E03"/>
    <w:rsid w:val="3ED07D6D"/>
    <w:rsid w:val="3EEC1047"/>
    <w:rsid w:val="3EF178D3"/>
    <w:rsid w:val="3EF65E01"/>
    <w:rsid w:val="3EF81FC9"/>
    <w:rsid w:val="3F097838"/>
    <w:rsid w:val="3F1012F8"/>
    <w:rsid w:val="3F411670"/>
    <w:rsid w:val="3F4C3465"/>
    <w:rsid w:val="3F707062"/>
    <w:rsid w:val="3FAB598A"/>
    <w:rsid w:val="3FCA1139"/>
    <w:rsid w:val="40222871"/>
    <w:rsid w:val="40414C13"/>
    <w:rsid w:val="40433A43"/>
    <w:rsid w:val="40506F6B"/>
    <w:rsid w:val="40672055"/>
    <w:rsid w:val="40933C34"/>
    <w:rsid w:val="40A16AF0"/>
    <w:rsid w:val="412E17A3"/>
    <w:rsid w:val="419033A9"/>
    <w:rsid w:val="419353F3"/>
    <w:rsid w:val="41A8147F"/>
    <w:rsid w:val="41AA0EC1"/>
    <w:rsid w:val="41B97C2B"/>
    <w:rsid w:val="41E3212F"/>
    <w:rsid w:val="41F66F23"/>
    <w:rsid w:val="41FA7928"/>
    <w:rsid w:val="421C56CD"/>
    <w:rsid w:val="42237A5C"/>
    <w:rsid w:val="423433FA"/>
    <w:rsid w:val="42462A5A"/>
    <w:rsid w:val="424E1A22"/>
    <w:rsid w:val="42757D76"/>
    <w:rsid w:val="42774F5F"/>
    <w:rsid w:val="42852853"/>
    <w:rsid w:val="43172384"/>
    <w:rsid w:val="43426E1E"/>
    <w:rsid w:val="43495337"/>
    <w:rsid w:val="43626673"/>
    <w:rsid w:val="43672737"/>
    <w:rsid w:val="436D06AB"/>
    <w:rsid w:val="437C13D8"/>
    <w:rsid w:val="437C276A"/>
    <w:rsid w:val="4394656E"/>
    <w:rsid w:val="43972F54"/>
    <w:rsid w:val="43A87965"/>
    <w:rsid w:val="43A90CFC"/>
    <w:rsid w:val="43A916D7"/>
    <w:rsid w:val="43E11C3F"/>
    <w:rsid w:val="43E57861"/>
    <w:rsid w:val="43F3120B"/>
    <w:rsid w:val="44092C88"/>
    <w:rsid w:val="440E06A7"/>
    <w:rsid w:val="442449F8"/>
    <w:rsid w:val="44330195"/>
    <w:rsid w:val="44437F4A"/>
    <w:rsid w:val="446143EF"/>
    <w:rsid w:val="44625B68"/>
    <w:rsid w:val="447F4114"/>
    <w:rsid w:val="44833583"/>
    <w:rsid w:val="44A56EEC"/>
    <w:rsid w:val="4509379B"/>
    <w:rsid w:val="451230E2"/>
    <w:rsid w:val="453E3EC8"/>
    <w:rsid w:val="45A657D5"/>
    <w:rsid w:val="45C131B3"/>
    <w:rsid w:val="45E350E4"/>
    <w:rsid w:val="45E82F3B"/>
    <w:rsid w:val="45EB093D"/>
    <w:rsid w:val="460C0632"/>
    <w:rsid w:val="462E4EA5"/>
    <w:rsid w:val="465142F2"/>
    <w:rsid w:val="465A1A05"/>
    <w:rsid w:val="469773E9"/>
    <w:rsid w:val="46C807C4"/>
    <w:rsid w:val="46CC787F"/>
    <w:rsid w:val="46CE478D"/>
    <w:rsid w:val="46D07FC3"/>
    <w:rsid w:val="46E33E1A"/>
    <w:rsid w:val="46E87B60"/>
    <w:rsid w:val="46EF6836"/>
    <w:rsid w:val="472D7190"/>
    <w:rsid w:val="473A0B50"/>
    <w:rsid w:val="473B220D"/>
    <w:rsid w:val="473B3EC7"/>
    <w:rsid w:val="474F4E9D"/>
    <w:rsid w:val="47562219"/>
    <w:rsid w:val="475A62BC"/>
    <w:rsid w:val="475C4C15"/>
    <w:rsid w:val="47A253C1"/>
    <w:rsid w:val="47A42542"/>
    <w:rsid w:val="47AD7A99"/>
    <w:rsid w:val="47B857F0"/>
    <w:rsid w:val="47BF1AFB"/>
    <w:rsid w:val="47CC4A9D"/>
    <w:rsid w:val="48381860"/>
    <w:rsid w:val="48584431"/>
    <w:rsid w:val="485C24D4"/>
    <w:rsid w:val="485F391F"/>
    <w:rsid w:val="48895AD0"/>
    <w:rsid w:val="48C304C1"/>
    <w:rsid w:val="48E6725F"/>
    <w:rsid w:val="48F67F8C"/>
    <w:rsid w:val="48F803CF"/>
    <w:rsid w:val="48FA6C9B"/>
    <w:rsid w:val="490A38A3"/>
    <w:rsid w:val="49522693"/>
    <w:rsid w:val="497B55A4"/>
    <w:rsid w:val="49995F8F"/>
    <w:rsid w:val="49B23F1F"/>
    <w:rsid w:val="49CC5EBF"/>
    <w:rsid w:val="49CE5A8F"/>
    <w:rsid w:val="49D6545E"/>
    <w:rsid w:val="49D96D2C"/>
    <w:rsid w:val="49DA47D8"/>
    <w:rsid w:val="4A212CFD"/>
    <w:rsid w:val="4ABE1043"/>
    <w:rsid w:val="4AE74885"/>
    <w:rsid w:val="4AE952F5"/>
    <w:rsid w:val="4AFC7982"/>
    <w:rsid w:val="4B2E305B"/>
    <w:rsid w:val="4B373EC2"/>
    <w:rsid w:val="4B4D2448"/>
    <w:rsid w:val="4B791C84"/>
    <w:rsid w:val="4B932BED"/>
    <w:rsid w:val="4BA124C2"/>
    <w:rsid w:val="4BAD2DAD"/>
    <w:rsid w:val="4BC0287F"/>
    <w:rsid w:val="4BC258D0"/>
    <w:rsid w:val="4BC50256"/>
    <w:rsid w:val="4BDF1CA8"/>
    <w:rsid w:val="4BE51C20"/>
    <w:rsid w:val="4C0F562F"/>
    <w:rsid w:val="4C1033CC"/>
    <w:rsid w:val="4C327212"/>
    <w:rsid w:val="4C4A07A6"/>
    <w:rsid w:val="4C52036A"/>
    <w:rsid w:val="4C797093"/>
    <w:rsid w:val="4C9A0D1A"/>
    <w:rsid w:val="4CDF0066"/>
    <w:rsid w:val="4D172FAD"/>
    <w:rsid w:val="4D1D7DDE"/>
    <w:rsid w:val="4D2C63C5"/>
    <w:rsid w:val="4D326027"/>
    <w:rsid w:val="4D4C75EF"/>
    <w:rsid w:val="4D8E784E"/>
    <w:rsid w:val="4DDA0CCC"/>
    <w:rsid w:val="4DE36F32"/>
    <w:rsid w:val="4DF60FB9"/>
    <w:rsid w:val="4E1645D8"/>
    <w:rsid w:val="4E523C2A"/>
    <w:rsid w:val="4E5657E1"/>
    <w:rsid w:val="4E731E4F"/>
    <w:rsid w:val="4E7F0BE0"/>
    <w:rsid w:val="4E9F0C23"/>
    <w:rsid w:val="4EAC3D58"/>
    <w:rsid w:val="4EB73713"/>
    <w:rsid w:val="4EC666F1"/>
    <w:rsid w:val="4EE84182"/>
    <w:rsid w:val="4EEB78B9"/>
    <w:rsid w:val="4F156FCC"/>
    <w:rsid w:val="4F182D9F"/>
    <w:rsid w:val="4F3A3D52"/>
    <w:rsid w:val="4F573AA1"/>
    <w:rsid w:val="4F670088"/>
    <w:rsid w:val="4F9F1B4F"/>
    <w:rsid w:val="4FB12D09"/>
    <w:rsid w:val="4FDD2CF9"/>
    <w:rsid w:val="4FE73120"/>
    <w:rsid w:val="4FE812A5"/>
    <w:rsid w:val="50222132"/>
    <w:rsid w:val="503C22C4"/>
    <w:rsid w:val="504C307E"/>
    <w:rsid w:val="50650ED1"/>
    <w:rsid w:val="50842779"/>
    <w:rsid w:val="50A47FAC"/>
    <w:rsid w:val="50D56842"/>
    <w:rsid w:val="50DE4E90"/>
    <w:rsid w:val="51261786"/>
    <w:rsid w:val="512978E2"/>
    <w:rsid w:val="513A67E6"/>
    <w:rsid w:val="51686F8D"/>
    <w:rsid w:val="51A837F0"/>
    <w:rsid w:val="51B7430F"/>
    <w:rsid w:val="51C40B81"/>
    <w:rsid w:val="51DB165F"/>
    <w:rsid w:val="51EE416C"/>
    <w:rsid w:val="51F82C16"/>
    <w:rsid w:val="5212397C"/>
    <w:rsid w:val="521D7F3A"/>
    <w:rsid w:val="521E009E"/>
    <w:rsid w:val="522C6F86"/>
    <w:rsid w:val="5243042A"/>
    <w:rsid w:val="5257135A"/>
    <w:rsid w:val="525922EA"/>
    <w:rsid w:val="5260435E"/>
    <w:rsid w:val="5265345E"/>
    <w:rsid w:val="527D51BB"/>
    <w:rsid w:val="52856202"/>
    <w:rsid w:val="52892D85"/>
    <w:rsid w:val="52E21D4E"/>
    <w:rsid w:val="530413A7"/>
    <w:rsid w:val="533D4A0D"/>
    <w:rsid w:val="5349241E"/>
    <w:rsid w:val="53500A73"/>
    <w:rsid w:val="535A6AE1"/>
    <w:rsid w:val="535D097D"/>
    <w:rsid w:val="537851EF"/>
    <w:rsid w:val="537B6326"/>
    <w:rsid w:val="539017AA"/>
    <w:rsid w:val="5418604A"/>
    <w:rsid w:val="5422194B"/>
    <w:rsid w:val="54252A56"/>
    <w:rsid w:val="545415C2"/>
    <w:rsid w:val="54873419"/>
    <w:rsid w:val="548B3ED8"/>
    <w:rsid w:val="54B10296"/>
    <w:rsid w:val="54B10A89"/>
    <w:rsid w:val="54B41142"/>
    <w:rsid w:val="54DF52C3"/>
    <w:rsid w:val="54EF2180"/>
    <w:rsid w:val="55206D05"/>
    <w:rsid w:val="5547115E"/>
    <w:rsid w:val="55680686"/>
    <w:rsid w:val="556853E8"/>
    <w:rsid w:val="55806027"/>
    <w:rsid w:val="55A5503C"/>
    <w:rsid w:val="55B44AB9"/>
    <w:rsid w:val="55E840CB"/>
    <w:rsid w:val="55EA5F32"/>
    <w:rsid w:val="55FA050F"/>
    <w:rsid w:val="560A5808"/>
    <w:rsid w:val="560C53E1"/>
    <w:rsid w:val="56544C5D"/>
    <w:rsid w:val="565A0880"/>
    <w:rsid w:val="566945BC"/>
    <w:rsid w:val="567D2CF8"/>
    <w:rsid w:val="5690697C"/>
    <w:rsid w:val="569B4300"/>
    <w:rsid w:val="57056316"/>
    <w:rsid w:val="570B5034"/>
    <w:rsid w:val="570C35AF"/>
    <w:rsid w:val="572001FD"/>
    <w:rsid w:val="57280854"/>
    <w:rsid w:val="572E011B"/>
    <w:rsid w:val="574761DC"/>
    <w:rsid w:val="5778344E"/>
    <w:rsid w:val="57821DC5"/>
    <w:rsid w:val="5788543B"/>
    <w:rsid w:val="578E4816"/>
    <w:rsid w:val="579A0AD2"/>
    <w:rsid w:val="57D05354"/>
    <w:rsid w:val="57F11707"/>
    <w:rsid w:val="58226B6C"/>
    <w:rsid w:val="58257A87"/>
    <w:rsid w:val="58340807"/>
    <w:rsid w:val="58514F8C"/>
    <w:rsid w:val="58641E7B"/>
    <w:rsid w:val="589C5770"/>
    <w:rsid w:val="58B84F28"/>
    <w:rsid w:val="58C33130"/>
    <w:rsid w:val="58C725B3"/>
    <w:rsid w:val="58D651D3"/>
    <w:rsid w:val="58D93FEC"/>
    <w:rsid w:val="5900776E"/>
    <w:rsid w:val="591E6F78"/>
    <w:rsid w:val="592423CF"/>
    <w:rsid w:val="595701D1"/>
    <w:rsid w:val="597D7990"/>
    <w:rsid w:val="599E54A6"/>
    <w:rsid w:val="59B744FC"/>
    <w:rsid w:val="5A0B7464"/>
    <w:rsid w:val="5A4073F7"/>
    <w:rsid w:val="5A577BEF"/>
    <w:rsid w:val="5A756563"/>
    <w:rsid w:val="5A9D38FC"/>
    <w:rsid w:val="5AA025E8"/>
    <w:rsid w:val="5AA72FF7"/>
    <w:rsid w:val="5ABA189E"/>
    <w:rsid w:val="5ABF43C3"/>
    <w:rsid w:val="5AE3522C"/>
    <w:rsid w:val="5B02481B"/>
    <w:rsid w:val="5B530BF6"/>
    <w:rsid w:val="5B6F69B8"/>
    <w:rsid w:val="5B8911A3"/>
    <w:rsid w:val="5B9C2981"/>
    <w:rsid w:val="5BA73623"/>
    <w:rsid w:val="5BAA5170"/>
    <w:rsid w:val="5BCE1B9E"/>
    <w:rsid w:val="5BCF459D"/>
    <w:rsid w:val="5BD342D2"/>
    <w:rsid w:val="5BDE0B1D"/>
    <w:rsid w:val="5BE84686"/>
    <w:rsid w:val="5C00426D"/>
    <w:rsid w:val="5C06727D"/>
    <w:rsid w:val="5C790ADC"/>
    <w:rsid w:val="5C892A30"/>
    <w:rsid w:val="5C8A54B1"/>
    <w:rsid w:val="5C9368F6"/>
    <w:rsid w:val="5C9C1150"/>
    <w:rsid w:val="5CA450DB"/>
    <w:rsid w:val="5CB52FC2"/>
    <w:rsid w:val="5CDC2A01"/>
    <w:rsid w:val="5CE433A4"/>
    <w:rsid w:val="5D224317"/>
    <w:rsid w:val="5D334347"/>
    <w:rsid w:val="5D5760DB"/>
    <w:rsid w:val="5D5C4CFF"/>
    <w:rsid w:val="5D711345"/>
    <w:rsid w:val="5D877E23"/>
    <w:rsid w:val="5DC72BEC"/>
    <w:rsid w:val="5DD447E2"/>
    <w:rsid w:val="5DE02BA3"/>
    <w:rsid w:val="5DF539ED"/>
    <w:rsid w:val="5E453209"/>
    <w:rsid w:val="5E4C21FD"/>
    <w:rsid w:val="5E603EBE"/>
    <w:rsid w:val="5E6A16B7"/>
    <w:rsid w:val="5EC35A4B"/>
    <w:rsid w:val="5F03745C"/>
    <w:rsid w:val="5F461315"/>
    <w:rsid w:val="5F4F5F1D"/>
    <w:rsid w:val="5F902CEE"/>
    <w:rsid w:val="5F962681"/>
    <w:rsid w:val="5FB2494A"/>
    <w:rsid w:val="5FB26DCA"/>
    <w:rsid w:val="5FD21136"/>
    <w:rsid w:val="600844C9"/>
    <w:rsid w:val="602A7350"/>
    <w:rsid w:val="602E353E"/>
    <w:rsid w:val="6040584F"/>
    <w:rsid w:val="607E3061"/>
    <w:rsid w:val="60991A72"/>
    <w:rsid w:val="60AB7D7E"/>
    <w:rsid w:val="60AC782C"/>
    <w:rsid w:val="60D30B29"/>
    <w:rsid w:val="60EB7BE5"/>
    <w:rsid w:val="616205F0"/>
    <w:rsid w:val="61741B5D"/>
    <w:rsid w:val="617C69CB"/>
    <w:rsid w:val="617D11F1"/>
    <w:rsid w:val="617E7EBF"/>
    <w:rsid w:val="61922459"/>
    <w:rsid w:val="61D77ACC"/>
    <w:rsid w:val="61DE7D5A"/>
    <w:rsid w:val="62202543"/>
    <w:rsid w:val="6224410D"/>
    <w:rsid w:val="62276F4B"/>
    <w:rsid w:val="622F3CFB"/>
    <w:rsid w:val="623A36D5"/>
    <w:rsid w:val="62702530"/>
    <w:rsid w:val="629F6259"/>
    <w:rsid w:val="62C35609"/>
    <w:rsid w:val="62F530FF"/>
    <w:rsid w:val="63535C76"/>
    <w:rsid w:val="63752C2C"/>
    <w:rsid w:val="6395653D"/>
    <w:rsid w:val="63990AFA"/>
    <w:rsid w:val="639C12A0"/>
    <w:rsid w:val="639D0F96"/>
    <w:rsid w:val="63A86FE3"/>
    <w:rsid w:val="63BB0050"/>
    <w:rsid w:val="63D03DD6"/>
    <w:rsid w:val="63ED7D94"/>
    <w:rsid w:val="63F13FBD"/>
    <w:rsid w:val="63F515F5"/>
    <w:rsid w:val="644E78B1"/>
    <w:rsid w:val="6454231D"/>
    <w:rsid w:val="646F348C"/>
    <w:rsid w:val="647512E6"/>
    <w:rsid w:val="649355FC"/>
    <w:rsid w:val="64C640F6"/>
    <w:rsid w:val="64CF53FF"/>
    <w:rsid w:val="64D61DD1"/>
    <w:rsid w:val="64D677FE"/>
    <w:rsid w:val="650463BE"/>
    <w:rsid w:val="653B1058"/>
    <w:rsid w:val="653F4B7D"/>
    <w:rsid w:val="65445D56"/>
    <w:rsid w:val="65901027"/>
    <w:rsid w:val="65962A2B"/>
    <w:rsid w:val="65AA69F8"/>
    <w:rsid w:val="65B44B35"/>
    <w:rsid w:val="65E10333"/>
    <w:rsid w:val="662509E5"/>
    <w:rsid w:val="66365D64"/>
    <w:rsid w:val="665761F7"/>
    <w:rsid w:val="6666582B"/>
    <w:rsid w:val="666F0067"/>
    <w:rsid w:val="667928CB"/>
    <w:rsid w:val="66887AE3"/>
    <w:rsid w:val="66906C2F"/>
    <w:rsid w:val="66A73703"/>
    <w:rsid w:val="66B83C48"/>
    <w:rsid w:val="66C563E6"/>
    <w:rsid w:val="66F57A43"/>
    <w:rsid w:val="66F900AA"/>
    <w:rsid w:val="67273DDA"/>
    <w:rsid w:val="673175B5"/>
    <w:rsid w:val="67334EB0"/>
    <w:rsid w:val="67491076"/>
    <w:rsid w:val="676309DB"/>
    <w:rsid w:val="677D30D3"/>
    <w:rsid w:val="67932C81"/>
    <w:rsid w:val="679D50F9"/>
    <w:rsid w:val="67B51B68"/>
    <w:rsid w:val="68172142"/>
    <w:rsid w:val="68183200"/>
    <w:rsid w:val="68257D44"/>
    <w:rsid w:val="682C1EE8"/>
    <w:rsid w:val="68385C81"/>
    <w:rsid w:val="68867FC5"/>
    <w:rsid w:val="6898438E"/>
    <w:rsid w:val="689904D3"/>
    <w:rsid w:val="689A3899"/>
    <w:rsid w:val="68C66F14"/>
    <w:rsid w:val="68D27962"/>
    <w:rsid w:val="68E706F4"/>
    <w:rsid w:val="68ED0F74"/>
    <w:rsid w:val="68ED418D"/>
    <w:rsid w:val="68EF223C"/>
    <w:rsid w:val="68F40001"/>
    <w:rsid w:val="691C4FC4"/>
    <w:rsid w:val="695C0AB2"/>
    <w:rsid w:val="696670A4"/>
    <w:rsid w:val="696717B1"/>
    <w:rsid w:val="696A7297"/>
    <w:rsid w:val="69897C4C"/>
    <w:rsid w:val="698B121A"/>
    <w:rsid w:val="69AB555C"/>
    <w:rsid w:val="69E2760D"/>
    <w:rsid w:val="69EB2519"/>
    <w:rsid w:val="69FD5ECB"/>
    <w:rsid w:val="6A1237D7"/>
    <w:rsid w:val="6A55151A"/>
    <w:rsid w:val="6A6F2340"/>
    <w:rsid w:val="6B023C59"/>
    <w:rsid w:val="6B060BB3"/>
    <w:rsid w:val="6B353706"/>
    <w:rsid w:val="6B482BD6"/>
    <w:rsid w:val="6B706F1D"/>
    <w:rsid w:val="6B771585"/>
    <w:rsid w:val="6BA86C2F"/>
    <w:rsid w:val="6BBC349C"/>
    <w:rsid w:val="6C6300A4"/>
    <w:rsid w:val="6C814251"/>
    <w:rsid w:val="6C89515A"/>
    <w:rsid w:val="6CA34DF0"/>
    <w:rsid w:val="6CA966F7"/>
    <w:rsid w:val="6CE703E0"/>
    <w:rsid w:val="6D611742"/>
    <w:rsid w:val="6D75286B"/>
    <w:rsid w:val="6DAA44BD"/>
    <w:rsid w:val="6DBF2F58"/>
    <w:rsid w:val="6DC823DF"/>
    <w:rsid w:val="6DFC0191"/>
    <w:rsid w:val="6DFC07E8"/>
    <w:rsid w:val="6E1053D1"/>
    <w:rsid w:val="6E1C5C60"/>
    <w:rsid w:val="6E1E3A07"/>
    <w:rsid w:val="6E1F6ED3"/>
    <w:rsid w:val="6E250FD9"/>
    <w:rsid w:val="6E3B312D"/>
    <w:rsid w:val="6E524D0E"/>
    <w:rsid w:val="6E52772A"/>
    <w:rsid w:val="6E600F53"/>
    <w:rsid w:val="6E677787"/>
    <w:rsid w:val="6E7205E8"/>
    <w:rsid w:val="6E7341F2"/>
    <w:rsid w:val="6E8C6DE7"/>
    <w:rsid w:val="6E8E7AB5"/>
    <w:rsid w:val="6E9F4988"/>
    <w:rsid w:val="6ECA2712"/>
    <w:rsid w:val="6EF84340"/>
    <w:rsid w:val="6F06418D"/>
    <w:rsid w:val="6F0F6AD0"/>
    <w:rsid w:val="6F133A13"/>
    <w:rsid w:val="6F35771A"/>
    <w:rsid w:val="6F4775A8"/>
    <w:rsid w:val="6F5B3BE6"/>
    <w:rsid w:val="6F6758C6"/>
    <w:rsid w:val="6F834CA7"/>
    <w:rsid w:val="6F943A1C"/>
    <w:rsid w:val="6FA71C55"/>
    <w:rsid w:val="6FB846F4"/>
    <w:rsid w:val="6FBC0DF8"/>
    <w:rsid w:val="6FCA1865"/>
    <w:rsid w:val="6FF35327"/>
    <w:rsid w:val="706B736B"/>
    <w:rsid w:val="7087465E"/>
    <w:rsid w:val="70932449"/>
    <w:rsid w:val="709479FE"/>
    <w:rsid w:val="709A4AC2"/>
    <w:rsid w:val="70A56222"/>
    <w:rsid w:val="70C63193"/>
    <w:rsid w:val="70CF72A0"/>
    <w:rsid w:val="70EE066A"/>
    <w:rsid w:val="70FA4254"/>
    <w:rsid w:val="71192018"/>
    <w:rsid w:val="714C18E3"/>
    <w:rsid w:val="71555B91"/>
    <w:rsid w:val="71701799"/>
    <w:rsid w:val="71B064C6"/>
    <w:rsid w:val="71D46BBF"/>
    <w:rsid w:val="71D46F9E"/>
    <w:rsid w:val="720C7CCC"/>
    <w:rsid w:val="723D5D5F"/>
    <w:rsid w:val="723F7FFC"/>
    <w:rsid w:val="7264243B"/>
    <w:rsid w:val="72733BFF"/>
    <w:rsid w:val="728734A8"/>
    <w:rsid w:val="72B35075"/>
    <w:rsid w:val="730B3D06"/>
    <w:rsid w:val="733F0985"/>
    <w:rsid w:val="734713C4"/>
    <w:rsid w:val="735722FD"/>
    <w:rsid w:val="73765A25"/>
    <w:rsid w:val="73910E13"/>
    <w:rsid w:val="739B1F6C"/>
    <w:rsid w:val="73CD4870"/>
    <w:rsid w:val="73CF5633"/>
    <w:rsid w:val="73D2575F"/>
    <w:rsid w:val="74074E48"/>
    <w:rsid w:val="743219CF"/>
    <w:rsid w:val="74362F59"/>
    <w:rsid w:val="744414E2"/>
    <w:rsid w:val="744B4EB8"/>
    <w:rsid w:val="7499513D"/>
    <w:rsid w:val="74A01D43"/>
    <w:rsid w:val="74A642AA"/>
    <w:rsid w:val="74AB020A"/>
    <w:rsid w:val="74CE47B3"/>
    <w:rsid w:val="74D619B6"/>
    <w:rsid w:val="74ED2C81"/>
    <w:rsid w:val="74EE2D6D"/>
    <w:rsid w:val="74F93AB3"/>
    <w:rsid w:val="7507444E"/>
    <w:rsid w:val="751D7918"/>
    <w:rsid w:val="751F58E4"/>
    <w:rsid w:val="75486BDD"/>
    <w:rsid w:val="75556B3F"/>
    <w:rsid w:val="75683317"/>
    <w:rsid w:val="757D7855"/>
    <w:rsid w:val="75823A34"/>
    <w:rsid w:val="75970DA9"/>
    <w:rsid w:val="75A05488"/>
    <w:rsid w:val="75AB0A26"/>
    <w:rsid w:val="75AE2F44"/>
    <w:rsid w:val="75BA3E11"/>
    <w:rsid w:val="75E7039A"/>
    <w:rsid w:val="75EF3D4D"/>
    <w:rsid w:val="76053DF6"/>
    <w:rsid w:val="76116F3A"/>
    <w:rsid w:val="762175D5"/>
    <w:rsid w:val="763306FC"/>
    <w:rsid w:val="765A6545"/>
    <w:rsid w:val="76735930"/>
    <w:rsid w:val="767F49FD"/>
    <w:rsid w:val="767F4D74"/>
    <w:rsid w:val="769A7999"/>
    <w:rsid w:val="769C5137"/>
    <w:rsid w:val="76CC4808"/>
    <w:rsid w:val="76E2571A"/>
    <w:rsid w:val="76F65F96"/>
    <w:rsid w:val="772A3B0C"/>
    <w:rsid w:val="77363C60"/>
    <w:rsid w:val="7741427D"/>
    <w:rsid w:val="77425394"/>
    <w:rsid w:val="77496A23"/>
    <w:rsid w:val="775A14B4"/>
    <w:rsid w:val="775C0F09"/>
    <w:rsid w:val="778C1373"/>
    <w:rsid w:val="77AD19D6"/>
    <w:rsid w:val="77B146D5"/>
    <w:rsid w:val="77C25549"/>
    <w:rsid w:val="77E13C60"/>
    <w:rsid w:val="77EF63C1"/>
    <w:rsid w:val="781B6ACB"/>
    <w:rsid w:val="782022AD"/>
    <w:rsid w:val="7847333B"/>
    <w:rsid w:val="785E2C79"/>
    <w:rsid w:val="78CC3D35"/>
    <w:rsid w:val="78CF6465"/>
    <w:rsid w:val="78E327F2"/>
    <w:rsid w:val="78F10630"/>
    <w:rsid w:val="78F65895"/>
    <w:rsid w:val="79116DC2"/>
    <w:rsid w:val="79411104"/>
    <w:rsid w:val="79871C1E"/>
    <w:rsid w:val="79932F1A"/>
    <w:rsid w:val="799E6E1E"/>
    <w:rsid w:val="79C3321C"/>
    <w:rsid w:val="79E02AF3"/>
    <w:rsid w:val="79E576FD"/>
    <w:rsid w:val="79FB30B4"/>
    <w:rsid w:val="79FB6B13"/>
    <w:rsid w:val="79FF6689"/>
    <w:rsid w:val="7A0D4946"/>
    <w:rsid w:val="7A1E563B"/>
    <w:rsid w:val="7A256805"/>
    <w:rsid w:val="7A66191B"/>
    <w:rsid w:val="7A6F298E"/>
    <w:rsid w:val="7A7B4DCD"/>
    <w:rsid w:val="7A897B82"/>
    <w:rsid w:val="7AAC7F38"/>
    <w:rsid w:val="7AB24ED6"/>
    <w:rsid w:val="7ABD62F0"/>
    <w:rsid w:val="7ADF3FCC"/>
    <w:rsid w:val="7AF044DB"/>
    <w:rsid w:val="7B4711C6"/>
    <w:rsid w:val="7B565455"/>
    <w:rsid w:val="7B6B1E9C"/>
    <w:rsid w:val="7B8F26E1"/>
    <w:rsid w:val="7B8F471E"/>
    <w:rsid w:val="7B9811F6"/>
    <w:rsid w:val="7B9B4BF9"/>
    <w:rsid w:val="7BA15E96"/>
    <w:rsid w:val="7BE4208F"/>
    <w:rsid w:val="7C0A24FC"/>
    <w:rsid w:val="7C2264A3"/>
    <w:rsid w:val="7C604AE7"/>
    <w:rsid w:val="7C7A5DE6"/>
    <w:rsid w:val="7C8311E4"/>
    <w:rsid w:val="7CBF508B"/>
    <w:rsid w:val="7CC73E2C"/>
    <w:rsid w:val="7CE00613"/>
    <w:rsid w:val="7CE25EBF"/>
    <w:rsid w:val="7CF30616"/>
    <w:rsid w:val="7CF76791"/>
    <w:rsid w:val="7D0F2DD1"/>
    <w:rsid w:val="7D126933"/>
    <w:rsid w:val="7D35609B"/>
    <w:rsid w:val="7D4C7C41"/>
    <w:rsid w:val="7D605722"/>
    <w:rsid w:val="7D922387"/>
    <w:rsid w:val="7DB40A66"/>
    <w:rsid w:val="7DB55EE4"/>
    <w:rsid w:val="7E0C6828"/>
    <w:rsid w:val="7E323027"/>
    <w:rsid w:val="7E4C41A4"/>
    <w:rsid w:val="7E6029E8"/>
    <w:rsid w:val="7E842B3A"/>
    <w:rsid w:val="7E8B02FC"/>
    <w:rsid w:val="7EA27924"/>
    <w:rsid w:val="7EA7149F"/>
    <w:rsid w:val="7EA842D0"/>
    <w:rsid w:val="7ED96E71"/>
    <w:rsid w:val="7EE527EB"/>
    <w:rsid w:val="7EF53B2B"/>
    <w:rsid w:val="7F031853"/>
    <w:rsid w:val="7F093263"/>
    <w:rsid w:val="7F1F09EE"/>
    <w:rsid w:val="7F23283E"/>
    <w:rsid w:val="7F53547C"/>
    <w:rsid w:val="7F6A2CF0"/>
    <w:rsid w:val="7F7E61A7"/>
    <w:rsid w:val="7F851F43"/>
    <w:rsid w:val="7FB338C7"/>
    <w:rsid w:val="7FB646C9"/>
    <w:rsid w:val="7FCF079A"/>
    <w:rsid w:val="7FD66B95"/>
    <w:rsid w:val="7FF7647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9"/>
    <w:autoRedefine/>
    <w:qFormat/>
    <w:uiPriority w:val="0"/>
    <w:pPr>
      <w:keepNext/>
      <w:keepLines/>
      <w:spacing w:beforeLines="0" w:afterLines="0" w:line="288" w:lineRule="auto"/>
      <w:jc w:val="center"/>
      <w:outlineLvl w:val="0"/>
    </w:pPr>
    <w:rPr>
      <w:rFonts w:eastAsia="黑体"/>
      <w:bCs/>
      <w:kern w:val="44"/>
      <w:sz w:val="32"/>
      <w:szCs w:val="44"/>
    </w:rPr>
  </w:style>
  <w:style w:type="paragraph" w:styleId="3">
    <w:name w:val="heading 2"/>
    <w:basedOn w:val="1"/>
    <w:next w:val="1"/>
    <w:link w:val="70"/>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link w:val="71"/>
    <w:autoRedefine/>
    <w:qFormat/>
    <w:uiPriority w:val="0"/>
    <w:pPr>
      <w:keepNext/>
      <w:keepLines/>
      <w:spacing w:before="260" w:beforeLines="0" w:after="260" w:afterLines="0" w:line="413" w:lineRule="auto"/>
      <w:outlineLvl w:val="2"/>
    </w:pPr>
    <w:rPr>
      <w:rFonts w:ascii="Times New Roman" w:hAnsi="Times New Roman"/>
      <w:b/>
      <w:bCs/>
      <w:sz w:val="32"/>
      <w:szCs w:val="32"/>
    </w:rPr>
  </w:style>
  <w:style w:type="paragraph" w:styleId="5">
    <w:name w:val="heading 4"/>
    <w:basedOn w:val="1"/>
    <w:next w:val="1"/>
    <w:link w:val="72"/>
    <w:qFormat/>
    <w:uiPriority w:val="0"/>
    <w:pPr>
      <w:keepNext/>
      <w:keepLines/>
      <w:widowControl/>
      <w:spacing w:before="120" w:beforeLines="0" w:after="120" w:afterLines="0" w:line="360" w:lineRule="auto"/>
      <w:jc w:val="center"/>
      <w:outlineLvl w:val="3"/>
    </w:pPr>
    <w:rPr>
      <w:rFonts w:ascii="Arial" w:hAnsi="Arial" w:eastAsia="黑体"/>
      <w:kern w:val="0"/>
      <w:sz w:val="28"/>
      <w:szCs w:val="20"/>
    </w:rPr>
  </w:style>
  <w:style w:type="paragraph" w:styleId="6">
    <w:name w:val="heading 5"/>
    <w:basedOn w:val="1"/>
    <w:next w:val="7"/>
    <w:link w:val="73"/>
    <w:qFormat/>
    <w:uiPriority w:val="0"/>
    <w:pPr>
      <w:keepNext/>
      <w:keepLines/>
      <w:numPr>
        <w:ilvl w:val="4"/>
        <w:numId w:val="1"/>
      </w:numPr>
      <w:spacing w:before="280" w:beforeLines="0" w:after="290" w:afterLines="0" w:line="372" w:lineRule="auto"/>
      <w:outlineLvl w:val="4"/>
    </w:pPr>
    <w:rPr>
      <w:rFonts w:ascii="Times New Roman" w:hAnsi="Times New Roman"/>
      <w:b/>
      <w:sz w:val="28"/>
    </w:rPr>
  </w:style>
  <w:style w:type="paragraph" w:styleId="8">
    <w:name w:val="heading 6"/>
    <w:basedOn w:val="1"/>
    <w:next w:val="7"/>
    <w:qFormat/>
    <w:uiPriority w:val="0"/>
    <w:pPr>
      <w:keepNext/>
      <w:keepLines/>
      <w:numPr>
        <w:ilvl w:val="5"/>
        <w:numId w:val="1"/>
      </w:numPr>
      <w:spacing w:before="240" w:beforeLines="0" w:after="64" w:afterLines="0" w:line="317" w:lineRule="auto"/>
      <w:outlineLvl w:val="5"/>
    </w:pPr>
    <w:rPr>
      <w:rFonts w:ascii="Arial" w:hAnsi="Arial" w:eastAsia="黑体" w:cs="Times New Roman"/>
      <w:b/>
      <w:sz w:val="24"/>
    </w:rPr>
  </w:style>
  <w:style w:type="paragraph" w:styleId="9">
    <w:name w:val="heading 7"/>
    <w:basedOn w:val="1"/>
    <w:next w:val="7"/>
    <w:autoRedefine/>
    <w:qFormat/>
    <w:uiPriority w:val="0"/>
    <w:pPr>
      <w:keepNext/>
      <w:keepLines/>
      <w:numPr>
        <w:ilvl w:val="6"/>
        <w:numId w:val="1"/>
      </w:numPr>
      <w:spacing w:before="240" w:beforeLines="0" w:after="64" w:afterLines="0" w:line="317" w:lineRule="auto"/>
      <w:outlineLvl w:val="6"/>
    </w:pPr>
    <w:rPr>
      <w:rFonts w:ascii="Times New Roman" w:hAnsi="Times New Roman" w:eastAsia="宋体" w:cs="Times New Roman"/>
      <w:b/>
      <w:sz w:val="24"/>
    </w:rPr>
  </w:style>
  <w:style w:type="paragraph" w:styleId="10">
    <w:name w:val="heading 8"/>
    <w:basedOn w:val="1"/>
    <w:next w:val="7"/>
    <w:autoRedefine/>
    <w:qFormat/>
    <w:uiPriority w:val="0"/>
    <w:pPr>
      <w:keepNext/>
      <w:keepLines/>
      <w:numPr>
        <w:ilvl w:val="7"/>
        <w:numId w:val="1"/>
      </w:numPr>
      <w:spacing w:before="240" w:beforeLines="0" w:after="64" w:afterLines="0" w:line="317" w:lineRule="auto"/>
      <w:outlineLvl w:val="7"/>
    </w:pPr>
    <w:rPr>
      <w:rFonts w:ascii="Arial" w:hAnsi="Arial" w:eastAsia="黑体" w:cs="Times New Roman"/>
      <w:sz w:val="24"/>
    </w:rPr>
  </w:style>
  <w:style w:type="paragraph" w:styleId="11">
    <w:name w:val="heading 9"/>
    <w:basedOn w:val="1"/>
    <w:next w:val="7"/>
    <w:qFormat/>
    <w:uiPriority w:val="0"/>
    <w:pPr>
      <w:keepNext/>
      <w:keepLines/>
      <w:numPr>
        <w:ilvl w:val="8"/>
        <w:numId w:val="1"/>
      </w:numPr>
      <w:spacing w:before="240" w:beforeLines="0" w:after="64" w:afterLines="0" w:line="317" w:lineRule="auto"/>
      <w:outlineLvl w:val="8"/>
    </w:pPr>
    <w:rPr>
      <w:rFonts w:ascii="Arial" w:hAnsi="Arial" w:eastAsia="黑体" w:cs="Times New Roman"/>
    </w:rPr>
  </w:style>
  <w:style w:type="character" w:default="1" w:styleId="60">
    <w:name w:val="Default Paragraph Font"/>
    <w:uiPriority w:val="0"/>
    <w:rPr>
      <w:rFonts w:ascii="Times New Roman" w:hAnsi="Times New Roman" w:eastAsia="宋体" w:cs="Times New Roman"/>
    </w:rPr>
  </w:style>
  <w:style w:type="table" w:default="1" w:styleId="58">
    <w:name w:val="Normal Table"/>
    <w:autoRedefine/>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7">
    <w:name w:val="Normal Indent"/>
    <w:basedOn w:val="1"/>
    <w:next w:val="1"/>
    <w:link w:val="74"/>
    <w:uiPriority w:val="0"/>
    <w:pPr>
      <w:ind w:firstLine="420"/>
    </w:pPr>
    <w:rPr>
      <w:rFonts w:ascii="Times New Roman" w:hAnsi="Times New Roman"/>
      <w:szCs w:val="20"/>
    </w:rPr>
  </w:style>
  <w:style w:type="paragraph" w:styleId="12">
    <w:name w:val="List 3"/>
    <w:basedOn w:val="1"/>
    <w:autoRedefine/>
    <w:qFormat/>
    <w:uiPriority w:val="0"/>
    <w:pPr>
      <w:ind w:left="100" w:leftChars="400" w:hanging="200" w:hangingChars="200"/>
    </w:pPr>
    <w:rPr>
      <w:rFonts w:ascii="Times New Roman" w:hAnsi="Times New Roman" w:eastAsia="宋体" w:cs="Times New Roman"/>
    </w:rPr>
  </w:style>
  <w:style w:type="paragraph" w:styleId="13">
    <w:name w:val="toc 7"/>
    <w:basedOn w:val="1"/>
    <w:next w:val="1"/>
    <w:autoRedefine/>
    <w:qFormat/>
    <w:uiPriority w:val="0"/>
    <w:pPr>
      <w:tabs>
        <w:tab w:val="right" w:leader="dot" w:pos="9185"/>
      </w:tabs>
      <w:adjustRightInd w:val="0"/>
      <w:spacing w:line="312" w:lineRule="atLeast"/>
      <w:ind w:left="2520"/>
      <w:textAlignment w:val="baseline"/>
    </w:pPr>
    <w:rPr>
      <w:rFonts w:ascii="Times New Roman" w:hAnsi="Times New Roman" w:eastAsia="宋体" w:cs="Times New Roman"/>
      <w:kern w:val="0"/>
      <w:szCs w:val="20"/>
    </w:rPr>
  </w:style>
  <w:style w:type="paragraph" w:styleId="14">
    <w:name w:val="index 8"/>
    <w:basedOn w:val="1"/>
    <w:next w:val="1"/>
    <w:autoRedefine/>
    <w:qFormat/>
    <w:uiPriority w:val="0"/>
    <w:pPr>
      <w:ind w:left="1400" w:leftChars="1400"/>
    </w:pPr>
    <w:rPr>
      <w:rFonts w:ascii="Times New Roman" w:hAnsi="Times New Roman" w:eastAsia="宋体" w:cs="Times New Roman"/>
    </w:rPr>
  </w:style>
  <w:style w:type="paragraph" w:styleId="15">
    <w:name w:val="List Number"/>
    <w:basedOn w:val="1"/>
    <w:autoRedefine/>
    <w:qFormat/>
    <w:uiPriority w:val="0"/>
    <w:pPr>
      <w:widowControl/>
      <w:tabs>
        <w:tab w:val="left" w:pos="454"/>
        <w:tab w:val="left" w:pos="720"/>
        <w:tab w:val="left" w:pos="840"/>
      </w:tabs>
      <w:spacing w:after="156" w:afterLines="50"/>
      <w:ind w:left="454" w:hanging="284"/>
      <w:jc w:val="left"/>
    </w:pPr>
    <w:rPr>
      <w:rFonts w:ascii="Times New Roman" w:hAnsi="Times New Roman" w:eastAsia="宋体" w:cs="Times New Roman"/>
      <w:kern w:val="0"/>
      <w:sz w:val="24"/>
      <w:szCs w:val="20"/>
    </w:rPr>
  </w:style>
  <w:style w:type="paragraph" w:styleId="16">
    <w:name w:val="caption"/>
    <w:basedOn w:val="1"/>
    <w:next w:val="1"/>
    <w:autoRedefine/>
    <w:qFormat/>
    <w:uiPriority w:val="0"/>
    <w:pPr>
      <w:spacing w:before="152" w:beforeLines="0" w:after="160" w:afterLines="0"/>
    </w:pPr>
    <w:rPr>
      <w:rFonts w:ascii="Arial" w:hAnsi="Arial" w:eastAsia="黑体" w:cs="Arial"/>
      <w:sz w:val="20"/>
      <w:szCs w:val="20"/>
    </w:rPr>
  </w:style>
  <w:style w:type="paragraph" w:styleId="17">
    <w:name w:val="Document Map"/>
    <w:basedOn w:val="1"/>
    <w:link w:val="75"/>
    <w:autoRedefine/>
    <w:qFormat/>
    <w:uiPriority w:val="0"/>
    <w:pPr>
      <w:shd w:val="clear" w:color="auto" w:fill="000080"/>
      <w:adjustRightInd w:val="0"/>
      <w:spacing w:line="312" w:lineRule="atLeast"/>
      <w:textAlignment w:val="baseline"/>
    </w:pPr>
    <w:rPr>
      <w:rFonts w:ascii="Times New Roman" w:hAnsi="Times New Roman"/>
      <w:kern w:val="0"/>
      <w:szCs w:val="20"/>
    </w:rPr>
  </w:style>
  <w:style w:type="paragraph" w:styleId="18">
    <w:name w:val="toa heading"/>
    <w:basedOn w:val="1"/>
    <w:next w:val="1"/>
    <w:autoRedefine/>
    <w:qFormat/>
    <w:uiPriority w:val="99"/>
    <w:pPr>
      <w:spacing w:before="120"/>
    </w:pPr>
    <w:rPr>
      <w:rFonts w:ascii="Cambria" w:hAnsi="Cambria" w:cs="宋体"/>
      <w:sz w:val="24"/>
    </w:rPr>
  </w:style>
  <w:style w:type="paragraph" w:styleId="19">
    <w:name w:val="annotation text"/>
    <w:basedOn w:val="1"/>
    <w:link w:val="76"/>
    <w:autoRedefine/>
    <w:qFormat/>
    <w:uiPriority w:val="0"/>
    <w:pPr>
      <w:jc w:val="left"/>
    </w:pPr>
    <w:rPr>
      <w:rFonts w:ascii="Times New Roman" w:hAnsi="Times New Roman"/>
    </w:rPr>
  </w:style>
  <w:style w:type="paragraph" w:styleId="20">
    <w:name w:val="Body Text 3"/>
    <w:basedOn w:val="1"/>
    <w:autoRedefine/>
    <w:qFormat/>
    <w:uiPriority w:val="0"/>
    <w:pPr>
      <w:spacing w:line="500" w:lineRule="exact"/>
    </w:pPr>
    <w:rPr>
      <w:rFonts w:ascii="Times New Roman" w:hAnsi="Times New Roman" w:eastAsia="宋体" w:cs="Times New Roman"/>
      <w:b/>
      <w:bCs/>
      <w:sz w:val="24"/>
    </w:rPr>
  </w:style>
  <w:style w:type="paragraph" w:styleId="21">
    <w:name w:val="Body Text"/>
    <w:basedOn w:val="1"/>
    <w:link w:val="77"/>
    <w:autoRedefine/>
    <w:qFormat/>
    <w:uiPriority w:val="0"/>
    <w:pPr>
      <w:spacing w:line="380" w:lineRule="exact"/>
    </w:pPr>
    <w:rPr>
      <w:rFonts w:ascii="Times New Roman" w:hAnsi="Times New Roman"/>
      <w:sz w:val="24"/>
    </w:rPr>
  </w:style>
  <w:style w:type="paragraph" w:styleId="22">
    <w:name w:val="Body Text Indent"/>
    <w:basedOn w:val="1"/>
    <w:next w:val="23"/>
    <w:link w:val="78"/>
    <w:autoRedefine/>
    <w:qFormat/>
    <w:uiPriority w:val="0"/>
    <w:pPr>
      <w:ind w:firstLine="830" w:firstLineChars="352"/>
    </w:pPr>
    <w:rPr>
      <w:rFonts w:ascii="仿宋_GB2312" w:hAnsi="Times New Roman" w:eastAsia="仿宋_GB2312"/>
      <w:sz w:val="32"/>
      <w:szCs w:val="20"/>
    </w:rPr>
  </w:style>
  <w:style w:type="paragraph" w:customStyle="1" w:styleId="23">
    <w:name w:val="样式 正文文本缩进 + 首行缩进:  2 字符 行距: 1.5 倍行距"/>
    <w:basedOn w:val="22"/>
    <w:autoRedefine/>
    <w:qFormat/>
    <w:uiPriority w:val="0"/>
    <w:rPr>
      <w:rFonts w:cs="宋体"/>
    </w:rPr>
  </w:style>
  <w:style w:type="paragraph" w:styleId="24">
    <w:name w:val="List Number 3"/>
    <w:basedOn w:val="1"/>
    <w:autoRedefine/>
    <w:qFormat/>
    <w:uiPriority w:val="0"/>
    <w:pPr>
      <w:tabs>
        <w:tab w:val="left" w:pos="1200"/>
      </w:tabs>
      <w:ind w:left="1200" w:leftChars="400" w:hanging="360" w:hangingChars="200"/>
    </w:pPr>
    <w:rPr>
      <w:rFonts w:ascii="Times New Roman" w:hAnsi="Times New Roman" w:eastAsia="宋体" w:cs="Times New Roman"/>
    </w:rPr>
  </w:style>
  <w:style w:type="paragraph" w:styleId="25">
    <w:name w:val="List 2"/>
    <w:basedOn w:val="1"/>
    <w:autoRedefine/>
    <w:qFormat/>
    <w:uiPriority w:val="0"/>
    <w:pPr>
      <w:ind w:left="100" w:leftChars="200" w:hanging="200" w:hangingChars="200"/>
    </w:pPr>
    <w:rPr>
      <w:rFonts w:ascii="Times New Roman" w:hAnsi="Times New Roman" w:eastAsia="宋体" w:cs="Times New Roman"/>
      <w:sz w:val="28"/>
    </w:rPr>
  </w:style>
  <w:style w:type="paragraph" w:styleId="26">
    <w:name w:val="Block Text"/>
    <w:basedOn w:val="1"/>
    <w:autoRedefine/>
    <w:qFormat/>
    <w:uiPriority w:val="0"/>
    <w:pPr>
      <w:adjustRightInd w:val="0"/>
      <w:ind w:left="420" w:right="33"/>
      <w:jc w:val="left"/>
      <w:textAlignment w:val="baseline"/>
    </w:pPr>
    <w:rPr>
      <w:rFonts w:ascii="Times New Roman" w:hAnsi="Times New Roman" w:eastAsia="宋体" w:cs="Times New Roman"/>
      <w:kern w:val="0"/>
      <w:sz w:val="24"/>
      <w:szCs w:val="20"/>
    </w:rPr>
  </w:style>
  <w:style w:type="paragraph" w:styleId="27">
    <w:name w:val="index 4"/>
    <w:basedOn w:val="1"/>
    <w:next w:val="1"/>
    <w:autoRedefine/>
    <w:qFormat/>
    <w:uiPriority w:val="0"/>
    <w:pPr>
      <w:ind w:left="600" w:leftChars="600"/>
    </w:pPr>
    <w:rPr>
      <w:rFonts w:ascii="Times New Roman" w:hAnsi="Times New Roman" w:eastAsia="宋体" w:cs="Times New Roman"/>
    </w:rPr>
  </w:style>
  <w:style w:type="paragraph" w:styleId="28">
    <w:name w:val="toc 5"/>
    <w:basedOn w:val="1"/>
    <w:next w:val="1"/>
    <w:autoRedefine/>
    <w:qFormat/>
    <w:uiPriority w:val="0"/>
    <w:pPr>
      <w:tabs>
        <w:tab w:val="right" w:leader="dot" w:pos="9185"/>
      </w:tabs>
      <w:adjustRightInd w:val="0"/>
      <w:spacing w:line="312" w:lineRule="atLeast"/>
      <w:ind w:left="1680"/>
      <w:textAlignment w:val="baseline"/>
    </w:pPr>
    <w:rPr>
      <w:rFonts w:ascii="Times New Roman" w:hAnsi="Times New Roman" w:eastAsia="宋体" w:cs="Times New Roman"/>
      <w:kern w:val="0"/>
      <w:szCs w:val="20"/>
    </w:rPr>
  </w:style>
  <w:style w:type="paragraph" w:styleId="29">
    <w:name w:val="toc 3"/>
    <w:basedOn w:val="1"/>
    <w:next w:val="1"/>
    <w:autoRedefine/>
    <w:qFormat/>
    <w:uiPriority w:val="0"/>
    <w:pPr>
      <w:ind w:left="840" w:leftChars="400"/>
    </w:pPr>
    <w:rPr>
      <w:rFonts w:ascii="Times New Roman" w:hAnsi="Times New Roman" w:eastAsia="宋体" w:cs="Times New Roman"/>
    </w:rPr>
  </w:style>
  <w:style w:type="paragraph" w:styleId="30">
    <w:name w:val="Plain Text"/>
    <w:basedOn w:val="1"/>
    <w:link w:val="79"/>
    <w:autoRedefine/>
    <w:qFormat/>
    <w:uiPriority w:val="0"/>
    <w:rPr>
      <w:rFonts w:ascii="宋体" w:hAnsi="Courier New" w:cs="Courier New"/>
      <w:szCs w:val="21"/>
    </w:rPr>
  </w:style>
  <w:style w:type="paragraph" w:styleId="31">
    <w:name w:val="toc 8"/>
    <w:basedOn w:val="1"/>
    <w:next w:val="1"/>
    <w:autoRedefine/>
    <w:qFormat/>
    <w:uiPriority w:val="0"/>
    <w:pPr>
      <w:tabs>
        <w:tab w:val="right" w:leader="dot" w:pos="9185"/>
      </w:tabs>
      <w:adjustRightInd w:val="0"/>
      <w:spacing w:line="312" w:lineRule="atLeast"/>
      <w:ind w:left="2940"/>
      <w:textAlignment w:val="baseline"/>
    </w:pPr>
    <w:rPr>
      <w:rFonts w:ascii="Times New Roman" w:hAnsi="Times New Roman" w:eastAsia="宋体" w:cs="Times New Roman"/>
      <w:kern w:val="0"/>
      <w:szCs w:val="20"/>
    </w:rPr>
  </w:style>
  <w:style w:type="paragraph" w:styleId="32">
    <w:name w:val="Date"/>
    <w:basedOn w:val="1"/>
    <w:next w:val="1"/>
    <w:link w:val="80"/>
    <w:autoRedefine/>
    <w:qFormat/>
    <w:uiPriority w:val="0"/>
    <w:pPr>
      <w:ind w:left="100" w:leftChars="2500"/>
    </w:pPr>
    <w:rPr>
      <w:rFonts w:ascii="宋体" w:hAnsi="Courier New"/>
      <w:szCs w:val="21"/>
    </w:rPr>
  </w:style>
  <w:style w:type="paragraph" w:styleId="33">
    <w:name w:val="Body Text Indent 2"/>
    <w:basedOn w:val="1"/>
    <w:link w:val="81"/>
    <w:autoRedefine/>
    <w:qFormat/>
    <w:uiPriority w:val="0"/>
    <w:pPr>
      <w:ind w:firstLine="630"/>
    </w:pPr>
    <w:rPr>
      <w:rFonts w:ascii="Times New Roman" w:hAnsi="Times New Roman"/>
      <w:sz w:val="32"/>
      <w:szCs w:val="20"/>
    </w:rPr>
  </w:style>
  <w:style w:type="paragraph" w:styleId="34">
    <w:name w:val="Balloon Text"/>
    <w:basedOn w:val="1"/>
    <w:link w:val="82"/>
    <w:autoRedefine/>
    <w:qFormat/>
    <w:uiPriority w:val="0"/>
    <w:rPr>
      <w:rFonts w:ascii="Times New Roman" w:hAnsi="Times New Roman"/>
      <w:sz w:val="18"/>
      <w:szCs w:val="18"/>
    </w:rPr>
  </w:style>
  <w:style w:type="paragraph" w:styleId="35">
    <w:name w:val="footer"/>
    <w:basedOn w:val="1"/>
    <w:link w:val="83"/>
    <w:autoRedefine/>
    <w:qFormat/>
    <w:uiPriority w:val="0"/>
    <w:pPr>
      <w:tabs>
        <w:tab w:val="center" w:pos="4153"/>
        <w:tab w:val="right" w:pos="8306"/>
      </w:tabs>
      <w:snapToGrid w:val="0"/>
      <w:jc w:val="left"/>
    </w:pPr>
    <w:rPr>
      <w:rFonts w:ascii="Times New Roman" w:hAnsi="Times New Roman"/>
      <w:sz w:val="18"/>
      <w:szCs w:val="18"/>
    </w:rPr>
  </w:style>
  <w:style w:type="paragraph" w:styleId="36">
    <w:name w:val="header"/>
    <w:basedOn w:val="1"/>
    <w:link w:val="84"/>
    <w:autoRedefine/>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37">
    <w:name w:val="toc 1"/>
    <w:basedOn w:val="1"/>
    <w:next w:val="1"/>
    <w:autoRedefine/>
    <w:qFormat/>
    <w:uiPriority w:val="0"/>
    <w:pPr>
      <w:tabs>
        <w:tab w:val="right" w:leader="dot" w:pos="8398"/>
      </w:tabs>
      <w:spacing w:before="120" w:beforeLines="0" w:after="120" w:afterLines="0"/>
      <w:ind w:firstLine="240" w:firstLineChars="100"/>
      <w:jc w:val="left"/>
    </w:pPr>
    <w:rPr>
      <w:rFonts w:ascii="宋体" w:hAnsi="宋体" w:eastAsia="宋体" w:cs="Times New Roman"/>
      <w:b/>
      <w:bCs/>
      <w:caps/>
      <w:sz w:val="24"/>
    </w:rPr>
  </w:style>
  <w:style w:type="paragraph" w:styleId="38">
    <w:name w:val="toc 4"/>
    <w:basedOn w:val="1"/>
    <w:next w:val="1"/>
    <w:autoRedefine/>
    <w:qFormat/>
    <w:uiPriority w:val="0"/>
    <w:pPr>
      <w:tabs>
        <w:tab w:val="right" w:leader="dot" w:pos="9185"/>
      </w:tabs>
      <w:adjustRightInd w:val="0"/>
      <w:spacing w:line="312" w:lineRule="atLeast"/>
      <w:ind w:left="1260"/>
      <w:textAlignment w:val="baseline"/>
    </w:pPr>
    <w:rPr>
      <w:rFonts w:ascii="Times New Roman" w:hAnsi="Times New Roman" w:eastAsia="宋体" w:cs="Times New Roman"/>
      <w:kern w:val="0"/>
      <w:szCs w:val="20"/>
    </w:rPr>
  </w:style>
  <w:style w:type="paragraph" w:styleId="39">
    <w:name w:val="Subtitle"/>
    <w:basedOn w:val="1"/>
    <w:next w:val="1"/>
    <w:link w:val="85"/>
    <w:autoRedefine/>
    <w:qFormat/>
    <w:uiPriority w:val="0"/>
    <w:pPr>
      <w:spacing w:before="240" w:after="60" w:line="312" w:lineRule="auto"/>
      <w:jc w:val="center"/>
      <w:outlineLvl w:val="1"/>
    </w:pPr>
    <w:rPr>
      <w:rFonts w:ascii="Cambria" w:hAnsi="Cambria"/>
      <w:b/>
      <w:bCs/>
      <w:kern w:val="28"/>
      <w:sz w:val="32"/>
      <w:szCs w:val="32"/>
    </w:rPr>
  </w:style>
  <w:style w:type="paragraph" w:styleId="40">
    <w:name w:val="List"/>
    <w:basedOn w:val="1"/>
    <w:autoRedefine/>
    <w:qFormat/>
    <w:uiPriority w:val="0"/>
    <w:pPr>
      <w:ind w:left="200" w:hanging="200" w:hangingChars="200"/>
    </w:pPr>
    <w:rPr>
      <w:rFonts w:ascii="Times New Roman" w:hAnsi="Times New Roman" w:eastAsia="宋体" w:cs="Times New Roman"/>
      <w:sz w:val="28"/>
    </w:rPr>
  </w:style>
  <w:style w:type="paragraph" w:styleId="41">
    <w:name w:val="footnote text"/>
    <w:basedOn w:val="1"/>
    <w:link w:val="86"/>
    <w:qFormat/>
    <w:uiPriority w:val="0"/>
    <w:pPr>
      <w:adjustRightInd w:val="0"/>
      <w:spacing w:line="312" w:lineRule="atLeast"/>
      <w:jc w:val="left"/>
      <w:textAlignment w:val="baseline"/>
    </w:pPr>
    <w:rPr>
      <w:rFonts w:ascii="Times New Roman" w:hAnsi="Times New Roman"/>
      <w:kern w:val="0"/>
      <w:sz w:val="18"/>
      <w:szCs w:val="20"/>
    </w:rPr>
  </w:style>
  <w:style w:type="paragraph" w:styleId="42">
    <w:name w:val="toc 6"/>
    <w:basedOn w:val="1"/>
    <w:next w:val="1"/>
    <w:qFormat/>
    <w:uiPriority w:val="0"/>
    <w:pPr>
      <w:tabs>
        <w:tab w:val="right" w:leader="dot" w:pos="9185"/>
      </w:tabs>
      <w:adjustRightInd w:val="0"/>
      <w:spacing w:line="312" w:lineRule="atLeast"/>
      <w:ind w:left="2100"/>
      <w:textAlignment w:val="baseline"/>
    </w:pPr>
    <w:rPr>
      <w:rFonts w:ascii="Times New Roman" w:hAnsi="Times New Roman" w:eastAsia="宋体" w:cs="Times New Roman"/>
      <w:kern w:val="0"/>
      <w:szCs w:val="20"/>
    </w:rPr>
  </w:style>
  <w:style w:type="paragraph" w:styleId="43">
    <w:name w:val="List 5"/>
    <w:basedOn w:val="1"/>
    <w:autoRedefine/>
    <w:qFormat/>
    <w:uiPriority w:val="0"/>
    <w:pPr>
      <w:ind w:left="2100" w:hanging="420"/>
    </w:pPr>
    <w:rPr>
      <w:rFonts w:ascii="Times New Roman" w:hAnsi="Times New Roman" w:eastAsia="宋体" w:cs="Times New Roman"/>
      <w:szCs w:val="20"/>
    </w:rPr>
  </w:style>
  <w:style w:type="paragraph" w:styleId="44">
    <w:name w:val="Body Text Indent 3"/>
    <w:basedOn w:val="1"/>
    <w:autoRedefine/>
    <w:qFormat/>
    <w:uiPriority w:val="0"/>
    <w:pPr>
      <w:spacing w:after="120" w:afterLines="0"/>
      <w:ind w:left="420" w:leftChars="200"/>
    </w:pPr>
    <w:rPr>
      <w:rFonts w:ascii="Times New Roman" w:hAnsi="Times New Roman" w:eastAsia="宋体" w:cs="Times New Roman"/>
      <w:sz w:val="16"/>
      <w:szCs w:val="16"/>
    </w:rPr>
  </w:style>
  <w:style w:type="paragraph" w:styleId="45">
    <w:name w:val="toc 2"/>
    <w:basedOn w:val="1"/>
    <w:next w:val="1"/>
    <w:qFormat/>
    <w:uiPriority w:val="0"/>
    <w:pPr>
      <w:ind w:left="420" w:leftChars="200"/>
    </w:pPr>
    <w:rPr>
      <w:rFonts w:ascii="Times New Roman" w:hAnsi="Times New Roman" w:eastAsia="宋体" w:cs="Times New Roman"/>
    </w:rPr>
  </w:style>
  <w:style w:type="paragraph" w:styleId="46">
    <w:name w:val="toc 9"/>
    <w:basedOn w:val="1"/>
    <w:next w:val="1"/>
    <w:qFormat/>
    <w:uiPriority w:val="0"/>
    <w:pPr>
      <w:tabs>
        <w:tab w:val="right" w:leader="dot" w:pos="9185"/>
      </w:tabs>
      <w:adjustRightInd w:val="0"/>
      <w:spacing w:line="312" w:lineRule="atLeast"/>
      <w:ind w:left="3360"/>
      <w:textAlignment w:val="baseline"/>
    </w:pPr>
    <w:rPr>
      <w:rFonts w:ascii="Times New Roman" w:hAnsi="Times New Roman" w:eastAsia="宋体" w:cs="Times New Roman"/>
      <w:kern w:val="0"/>
      <w:szCs w:val="20"/>
    </w:rPr>
  </w:style>
  <w:style w:type="paragraph" w:styleId="47">
    <w:name w:val="Body Text 2"/>
    <w:basedOn w:val="1"/>
    <w:autoRedefine/>
    <w:qFormat/>
    <w:uiPriority w:val="0"/>
    <w:pPr>
      <w:spacing w:after="120" w:afterLines="0" w:line="480" w:lineRule="auto"/>
    </w:pPr>
    <w:rPr>
      <w:rFonts w:ascii="Times New Roman" w:hAnsi="Times New Roman" w:eastAsia="宋体" w:cs="Times New Roman"/>
    </w:rPr>
  </w:style>
  <w:style w:type="paragraph" w:styleId="48">
    <w:name w:val="List 4"/>
    <w:basedOn w:val="1"/>
    <w:qFormat/>
    <w:uiPriority w:val="0"/>
    <w:pPr>
      <w:ind w:left="100" w:leftChars="600" w:hanging="200" w:hangingChars="200"/>
    </w:pPr>
    <w:rPr>
      <w:rFonts w:ascii="Times New Roman" w:hAnsi="Times New Roman" w:eastAsia="宋体" w:cs="Times New Roman"/>
    </w:rPr>
  </w:style>
  <w:style w:type="paragraph" w:styleId="49">
    <w:name w:val="List Continue 2"/>
    <w:basedOn w:val="1"/>
    <w:qFormat/>
    <w:uiPriority w:val="0"/>
    <w:pPr>
      <w:spacing w:after="120" w:afterLines="0"/>
      <w:ind w:left="840" w:leftChars="400"/>
    </w:pPr>
    <w:rPr>
      <w:rFonts w:ascii="Times New Roman" w:hAnsi="Times New Roman" w:eastAsia="宋体" w:cs="Times New Roman"/>
    </w:rPr>
  </w:style>
  <w:style w:type="paragraph" w:styleId="50">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eastAsia="宋体" w:cs="Times New Roman"/>
      <w:kern w:val="0"/>
      <w:sz w:val="24"/>
    </w:rPr>
  </w:style>
  <w:style w:type="paragraph" w:styleId="52">
    <w:name w:val="index 1"/>
    <w:basedOn w:val="1"/>
    <w:next w:val="1"/>
    <w:qFormat/>
    <w:uiPriority w:val="0"/>
    <w:pPr>
      <w:spacing w:line="400" w:lineRule="exact"/>
      <w:ind w:firstLine="420" w:firstLineChars="200"/>
    </w:pPr>
    <w:rPr>
      <w:rFonts w:ascii="宋体" w:hAnsi="Courier New" w:eastAsia="宋体" w:cs="Times New Roman"/>
      <w:b/>
      <w:szCs w:val="20"/>
    </w:rPr>
  </w:style>
  <w:style w:type="paragraph" w:styleId="53">
    <w:name w:val="Title"/>
    <w:basedOn w:val="1"/>
    <w:link w:val="87"/>
    <w:autoRedefine/>
    <w:qFormat/>
    <w:uiPriority w:val="0"/>
    <w:pPr>
      <w:jc w:val="center"/>
    </w:pPr>
    <w:rPr>
      <w:rFonts w:ascii="Times New Roman" w:hAnsi="Times New Roman"/>
      <w:sz w:val="30"/>
    </w:rPr>
  </w:style>
  <w:style w:type="paragraph" w:styleId="54">
    <w:name w:val="annotation subject"/>
    <w:basedOn w:val="19"/>
    <w:next w:val="19"/>
    <w:link w:val="88"/>
    <w:autoRedefine/>
    <w:qFormat/>
    <w:uiPriority w:val="0"/>
    <w:rPr>
      <w:b/>
      <w:bCs/>
    </w:rPr>
  </w:style>
  <w:style w:type="paragraph" w:styleId="55">
    <w:name w:val="Body Text First Indent"/>
    <w:basedOn w:val="21"/>
    <w:qFormat/>
    <w:uiPriority w:val="0"/>
    <w:pPr>
      <w:spacing w:after="120" w:afterLines="0" w:line="240" w:lineRule="auto"/>
      <w:ind w:firstLine="420" w:firstLineChars="100"/>
    </w:pPr>
    <w:rPr>
      <w:rFonts w:ascii="Times New Roman" w:hAnsi="Times New Roman" w:eastAsia="宋体" w:cs="Times New Roman"/>
      <w:sz w:val="21"/>
    </w:rPr>
  </w:style>
  <w:style w:type="paragraph" w:styleId="56">
    <w:name w:val="Body Text First Indent 2"/>
    <w:basedOn w:val="22"/>
    <w:next w:val="57"/>
    <w:autoRedefine/>
    <w:qFormat/>
    <w:uiPriority w:val="0"/>
    <w:pPr>
      <w:spacing w:after="120" w:afterLines="0"/>
      <w:ind w:left="420" w:leftChars="200" w:firstLine="420" w:firstLineChars="200"/>
    </w:pPr>
    <w:rPr>
      <w:rFonts w:ascii="Times New Roman" w:hAnsi="Times New Roman" w:eastAsia="宋体" w:cs="Times New Roman"/>
      <w:sz w:val="21"/>
      <w:szCs w:val="24"/>
    </w:rPr>
  </w:style>
  <w:style w:type="paragraph" w:customStyle="1" w:styleId="57">
    <w:name w:val="**正文"/>
    <w:basedOn w:val="1"/>
    <w:autoRedefine/>
    <w:qFormat/>
    <w:uiPriority w:val="0"/>
    <w:pPr>
      <w:ind w:firstLine="482"/>
    </w:pPr>
    <w:rPr>
      <w:rFonts w:ascii="宋体" w:hAnsi="宋体"/>
      <w:sz w:val="24"/>
    </w:rPr>
  </w:style>
  <w:style w:type="table" w:styleId="59">
    <w:name w:val="Table Grid"/>
    <w:basedOn w:val="58"/>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1">
    <w:name w:val="Strong"/>
    <w:autoRedefine/>
    <w:qFormat/>
    <w:uiPriority w:val="0"/>
    <w:rPr>
      <w:rFonts w:ascii="Times New Roman" w:hAnsi="Times New Roman" w:eastAsia="宋体" w:cs="Times New Roman"/>
      <w:b/>
      <w:bCs/>
    </w:rPr>
  </w:style>
  <w:style w:type="character" w:styleId="62">
    <w:name w:val="page number"/>
    <w:autoRedefine/>
    <w:qFormat/>
    <w:uiPriority w:val="0"/>
    <w:rPr>
      <w:rFonts w:ascii="Times New Roman" w:hAnsi="Times New Roman" w:eastAsia="宋体" w:cs="Times New Roman"/>
    </w:rPr>
  </w:style>
  <w:style w:type="character" w:styleId="63">
    <w:name w:val="FollowedHyperlink"/>
    <w:qFormat/>
    <w:uiPriority w:val="0"/>
    <w:rPr>
      <w:rFonts w:ascii="Times New Roman" w:hAnsi="Times New Roman" w:eastAsia="宋体" w:cs="Times New Roman"/>
      <w:color w:val="333333"/>
      <w:u w:val="none"/>
    </w:rPr>
  </w:style>
  <w:style w:type="character" w:styleId="64">
    <w:name w:val="Emphasis"/>
    <w:qFormat/>
    <w:uiPriority w:val="0"/>
    <w:rPr>
      <w:rFonts w:ascii="Times New Roman" w:hAnsi="Times New Roman" w:eastAsia="宋体" w:cs="Times New Roman"/>
      <w:color w:val="CC0000"/>
    </w:rPr>
  </w:style>
  <w:style w:type="character" w:styleId="65">
    <w:name w:val="Hyperlink"/>
    <w:autoRedefine/>
    <w:qFormat/>
    <w:uiPriority w:val="0"/>
    <w:rPr>
      <w:rFonts w:ascii="Times New Roman" w:hAnsi="Times New Roman" w:eastAsia="宋体" w:cs="Times New Roman"/>
      <w:color w:val="333333"/>
      <w:u w:val="none"/>
    </w:rPr>
  </w:style>
  <w:style w:type="character" w:styleId="66">
    <w:name w:val="HTML Code"/>
    <w:qFormat/>
    <w:uiPriority w:val="0"/>
    <w:rPr>
      <w:rFonts w:ascii="Courier New" w:hAnsi="Courier New" w:eastAsia="宋体" w:cs="Times New Roman"/>
      <w:sz w:val="20"/>
    </w:rPr>
  </w:style>
  <w:style w:type="character" w:styleId="67">
    <w:name w:val="annotation reference"/>
    <w:autoRedefine/>
    <w:qFormat/>
    <w:uiPriority w:val="0"/>
    <w:rPr>
      <w:rFonts w:ascii="Times New Roman" w:hAnsi="Times New Roman" w:eastAsia="宋体" w:cs="Times New Roman"/>
      <w:sz w:val="21"/>
      <w:szCs w:val="21"/>
    </w:rPr>
  </w:style>
  <w:style w:type="character" w:styleId="68">
    <w:name w:val="HTML Cite"/>
    <w:qFormat/>
    <w:uiPriority w:val="0"/>
    <w:rPr>
      <w:rFonts w:ascii="Times New Roman" w:hAnsi="Times New Roman" w:eastAsia="宋体" w:cs="Times New Roman"/>
    </w:rPr>
  </w:style>
  <w:style w:type="character" w:customStyle="1" w:styleId="69">
    <w:name w:val="标题 1 字符"/>
    <w:link w:val="2"/>
    <w:qFormat/>
    <w:uiPriority w:val="0"/>
    <w:rPr>
      <w:rFonts w:ascii="Calibri" w:hAnsi="Calibri" w:eastAsia="黑体" w:cs="Times New Roman"/>
      <w:bCs/>
      <w:kern w:val="44"/>
      <w:sz w:val="32"/>
      <w:szCs w:val="44"/>
      <w:lang w:val="en-US" w:eastAsia="zh-CN" w:bidi="ar-SA"/>
    </w:rPr>
  </w:style>
  <w:style w:type="character" w:customStyle="1" w:styleId="70">
    <w:name w:val="标题 2 字符"/>
    <w:link w:val="3"/>
    <w:autoRedefine/>
    <w:qFormat/>
    <w:uiPriority w:val="0"/>
    <w:rPr>
      <w:rFonts w:ascii="Arial" w:hAnsi="Arial" w:eastAsia="黑体" w:cs="Times New Roman"/>
      <w:b/>
      <w:bCs/>
      <w:kern w:val="2"/>
      <w:sz w:val="32"/>
      <w:szCs w:val="32"/>
    </w:rPr>
  </w:style>
  <w:style w:type="character" w:customStyle="1" w:styleId="71">
    <w:name w:val="标题 3 字符"/>
    <w:link w:val="4"/>
    <w:qFormat/>
    <w:uiPriority w:val="0"/>
    <w:rPr>
      <w:rFonts w:ascii="Times New Roman" w:hAnsi="Times New Roman" w:eastAsia="宋体" w:cs="Times New Roman"/>
      <w:b/>
      <w:bCs/>
      <w:kern w:val="2"/>
      <w:sz w:val="32"/>
      <w:szCs w:val="32"/>
    </w:rPr>
  </w:style>
  <w:style w:type="character" w:customStyle="1" w:styleId="72">
    <w:name w:val="标题 4 字符"/>
    <w:link w:val="5"/>
    <w:autoRedefine/>
    <w:qFormat/>
    <w:uiPriority w:val="0"/>
    <w:rPr>
      <w:rFonts w:ascii="Arial" w:hAnsi="Arial" w:eastAsia="黑体" w:cs="Times New Roman"/>
      <w:sz w:val="28"/>
    </w:rPr>
  </w:style>
  <w:style w:type="character" w:customStyle="1" w:styleId="73">
    <w:name w:val="标题 5 字符"/>
    <w:link w:val="6"/>
    <w:qFormat/>
    <w:uiPriority w:val="0"/>
    <w:rPr>
      <w:rFonts w:ascii="Times New Roman" w:hAnsi="Times New Roman" w:eastAsia="宋体" w:cs="Times New Roman"/>
      <w:b/>
      <w:kern w:val="2"/>
      <w:sz w:val="28"/>
      <w:szCs w:val="24"/>
    </w:rPr>
  </w:style>
  <w:style w:type="character" w:customStyle="1" w:styleId="74">
    <w:name w:val="正文缩进 字符"/>
    <w:link w:val="7"/>
    <w:qFormat/>
    <w:uiPriority w:val="0"/>
    <w:rPr>
      <w:rFonts w:ascii="Times New Roman" w:hAnsi="Times New Roman" w:eastAsia="宋体" w:cs="Times New Roman"/>
      <w:kern w:val="2"/>
      <w:sz w:val="21"/>
    </w:rPr>
  </w:style>
  <w:style w:type="character" w:customStyle="1" w:styleId="75">
    <w:name w:val="文档结构图 字符"/>
    <w:link w:val="17"/>
    <w:autoRedefine/>
    <w:qFormat/>
    <w:uiPriority w:val="0"/>
    <w:rPr>
      <w:rFonts w:ascii="Times New Roman" w:hAnsi="Times New Roman" w:eastAsia="宋体" w:cs="Times New Roman"/>
      <w:sz w:val="21"/>
      <w:shd w:val="clear" w:color="auto" w:fill="000080"/>
    </w:rPr>
  </w:style>
  <w:style w:type="character" w:customStyle="1" w:styleId="76">
    <w:name w:val="批注文字 字符"/>
    <w:link w:val="19"/>
    <w:qFormat/>
    <w:uiPriority w:val="0"/>
    <w:rPr>
      <w:rFonts w:ascii="Times New Roman" w:hAnsi="Times New Roman" w:eastAsia="宋体" w:cs="Times New Roman"/>
      <w:kern w:val="2"/>
      <w:sz w:val="21"/>
      <w:szCs w:val="24"/>
    </w:rPr>
  </w:style>
  <w:style w:type="character" w:customStyle="1" w:styleId="77">
    <w:name w:val="正文文本 字符"/>
    <w:link w:val="21"/>
    <w:qFormat/>
    <w:uiPriority w:val="0"/>
    <w:rPr>
      <w:rFonts w:ascii="Times New Roman" w:hAnsi="Times New Roman" w:eastAsia="宋体" w:cs="Times New Roman"/>
      <w:kern w:val="2"/>
      <w:sz w:val="24"/>
      <w:szCs w:val="24"/>
    </w:rPr>
  </w:style>
  <w:style w:type="character" w:customStyle="1" w:styleId="78">
    <w:name w:val="正文文本缩进 字符"/>
    <w:link w:val="22"/>
    <w:autoRedefine/>
    <w:qFormat/>
    <w:uiPriority w:val="0"/>
    <w:rPr>
      <w:rFonts w:ascii="仿宋_GB2312" w:hAnsi="Times New Roman" w:eastAsia="仿宋_GB2312" w:cs="Times New Roman"/>
      <w:kern w:val="2"/>
      <w:sz w:val="32"/>
    </w:rPr>
  </w:style>
  <w:style w:type="character" w:customStyle="1" w:styleId="79">
    <w:name w:val="纯文本 字符"/>
    <w:link w:val="30"/>
    <w:autoRedefine/>
    <w:qFormat/>
    <w:uiPriority w:val="0"/>
    <w:rPr>
      <w:rFonts w:ascii="宋体" w:hAnsi="Courier New" w:eastAsia="宋体" w:cs="Courier New"/>
      <w:kern w:val="2"/>
      <w:sz w:val="21"/>
      <w:szCs w:val="21"/>
      <w:lang w:val="en-US" w:eastAsia="zh-CN" w:bidi="ar-SA"/>
    </w:rPr>
  </w:style>
  <w:style w:type="character" w:customStyle="1" w:styleId="80">
    <w:name w:val="日期 字符"/>
    <w:link w:val="32"/>
    <w:qFormat/>
    <w:uiPriority w:val="0"/>
    <w:rPr>
      <w:rFonts w:ascii="宋体" w:hAnsi="Courier New" w:eastAsia="宋体" w:cs="Courier New"/>
      <w:kern w:val="2"/>
      <w:sz w:val="21"/>
      <w:szCs w:val="21"/>
    </w:rPr>
  </w:style>
  <w:style w:type="character" w:customStyle="1" w:styleId="81">
    <w:name w:val="正文文本缩进 2 字符"/>
    <w:link w:val="33"/>
    <w:autoRedefine/>
    <w:qFormat/>
    <w:uiPriority w:val="0"/>
    <w:rPr>
      <w:rFonts w:ascii="Times New Roman" w:hAnsi="Times New Roman" w:eastAsia="宋体" w:cs="Times New Roman"/>
      <w:kern w:val="2"/>
      <w:sz w:val="32"/>
    </w:rPr>
  </w:style>
  <w:style w:type="character" w:customStyle="1" w:styleId="82">
    <w:name w:val="批注框文本 字符"/>
    <w:link w:val="34"/>
    <w:qFormat/>
    <w:uiPriority w:val="0"/>
    <w:rPr>
      <w:rFonts w:ascii="Times New Roman" w:hAnsi="Times New Roman" w:eastAsia="宋体" w:cs="Times New Roman"/>
      <w:kern w:val="2"/>
      <w:sz w:val="18"/>
      <w:szCs w:val="18"/>
    </w:rPr>
  </w:style>
  <w:style w:type="character" w:customStyle="1" w:styleId="83">
    <w:name w:val="页脚 字符"/>
    <w:link w:val="35"/>
    <w:autoRedefine/>
    <w:qFormat/>
    <w:uiPriority w:val="0"/>
    <w:rPr>
      <w:rFonts w:ascii="Times New Roman" w:hAnsi="Times New Roman" w:eastAsia="宋体" w:cs="Times New Roman"/>
      <w:kern w:val="2"/>
      <w:sz w:val="18"/>
      <w:szCs w:val="18"/>
    </w:rPr>
  </w:style>
  <w:style w:type="character" w:customStyle="1" w:styleId="84">
    <w:name w:val="页眉 字符"/>
    <w:link w:val="36"/>
    <w:autoRedefine/>
    <w:qFormat/>
    <w:uiPriority w:val="0"/>
    <w:rPr>
      <w:rFonts w:ascii="Times New Roman" w:hAnsi="Times New Roman" w:eastAsia="宋体" w:cs="Times New Roman"/>
      <w:kern w:val="2"/>
      <w:sz w:val="18"/>
      <w:szCs w:val="18"/>
    </w:rPr>
  </w:style>
  <w:style w:type="character" w:customStyle="1" w:styleId="85">
    <w:name w:val="副标题 字符"/>
    <w:link w:val="39"/>
    <w:autoRedefine/>
    <w:qFormat/>
    <w:uiPriority w:val="0"/>
    <w:rPr>
      <w:rFonts w:ascii="Cambria" w:hAnsi="Cambria" w:eastAsia="宋体" w:cs="Times New Roman"/>
      <w:b/>
      <w:bCs/>
      <w:kern w:val="28"/>
      <w:sz w:val="32"/>
      <w:szCs w:val="32"/>
    </w:rPr>
  </w:style>
  <w:style w:type="character" w:customStyle="1" w:styleId="86">
    <w:name w:val="脚注文本 字符"/>
    <w:link w:val="41"/>
    <w:qFormat/>
    <w:uiPriority w:val="0"/>
    <w:rPr>
      <w:rFonts w:ascii="Times New Roman" w:hAnsi="Times New Roman" w:eastAsia="宋体" w:cs="Times New Roman"/>
      <w:sz w:val="18"/>
    </w:rPr>
  </w:style>
  <w:style w:type="character" w:customStyle="1" w:styleId="87">
    <w:name w:val="标题 字符"/>
    <w:link w:val="53"/>
    <w:qFormat/>
    <w:uiPriority w:val="0"/>
    <w:rPr>
      <w:rFonts w:ascii="Times New Roman" w:hAnsi="Times New Roman" w:eastAsia="宋体" w:cs="Times New Roman"/>
      <w:kern w:val="2"/>
      <w:sz w:val="30"/>
      <w:szCs w:val="24"/>
    </w:rPr>
  </w:style>
  <w:style w:type="character" w:customStyle="1" w:styleId="88">
    <w:name w:val="批注主题 字符"/>
    <w:link w:val="54"/>
    <w:qFormat/>
    <w:uiPriority w:val="0"/>
    <w:rPr>
      <w:rFonts w:ascii="Times New Roman" w:hAnsi="Times New Roman" w:eastAsia="宋体" w:cs="Times New Roman"/>
      <w:b/>
      <w:bCs/>
      <w:kern w:val="2"/>
      <w:sz w:val="21"/>
      <w:szCs w:val="24"/>
    </w:rPr>
  </w:style>
  <w:style w:type="character" w:customStyle="1" w:styleId="89">
    <w:name w:val="content2"/>
    <w:qFormat/>
    <w:uiPriority w:val="0"/>
    <w:rPr>
      <w:rFonts w:ascii="Times New Roman" w:hAnsi="Times New Roman" w:eastAsia="宋体" w:cs="Times New Roman"/>
    </w:rPr>
  </w:style>
  <w:style w:type="character" w:customStyle="1" w:styleId="90">
    <w:name w:val="页眉 Char"/>
    <w:autoRedefine/>
    <w:qFormat/>
    <w:uiPriority w:val="0"/>
    <w:rPr>
      <w:rFonts w:ascii="Times New Roman" w:hAnsi="Times New Roman" w:eastAsia="宋体" w:cs="Times New Roman"/>
      <w:kern w:val="2"/>
      <w:sz w:val="18"/>
      <w:szCs w:val="18"/>
    </w:rPr>
  </w:style>
  <w:style w:type="character" w:customStyle="1" w:styleId="91">
    <w:name w:val="明显引用 Char2"/>
    <w:autoRedefine/>
    <w:qFormat/>
    <w:uiPriority w:val="0"/>
    <w:rPr>
      <w:rFonts w:ascii="Times New Roman" w:hAnsi="Times New Roman" w:eastAsia="宋体" w:cs="Times New Roman"/>
      <w:b/>
      <w:bCs/>
      <w:i/>
      <w:iCs/>
      <w:color w:val="4F81BD"/>
      <w:kern w:val="2"/>
      <w:sz w:val="21"/>
      <w:szCs w:val="24"/>
    </w:rPr>
  </w:style>
  <w:style w:type="character" w:customStyle="1" w:styleId="92">
    <w:name w:val="case31"/>
    <w:qFormat/>
    <w:uiPriority w:val="0"/>
    <w:rPr>
      <w:rFonts w:hint="default" w:ascii="_x000B__x000C_" w:hAnsi="_x000B__x000C_" w:eastAsia="宋体" w:cs="Times New Roman"/>
      <w:sz w:val="21"/>
      <w:szCs w:val="21"/>
    </w:rPr>
  </w:style>
  <w:style w:type="character" w:customStyle="1" w:styleId="93">
    <w:name w:val="style11"/>
    <w:qFormat/>
    <w:uiPriority w:val="0"/>
    <w:rPr>
      <w:rFonts w:hint="default" w:ascii="Arial" w:hAnsi="Arial" w:eastAsia="宋体" w:cs="Arial"/>
    </w:rPr>
  </w:style>
  <w:style w:type="character" w:customStyle="1" w:styleId="94">
    <w:name w:val="font11"/>
    <w:autoRedefine/>
    <w:qFormat/>
    <w:uiPriority w:val="0"/>
    <w:rPr>
      <w:rFonts w:hint="eastAsia" w:ascii="宋体" w:hAnsi="宋体" w:eastAsia="宋体" w:cs="宋体"/>
      <w:color w:val="000000"/>
      <w:sz w:val="24"/>
      <w:szCs w:val="24"/>
      <w:u w:val="none"/>
    </w:rPr>
  </w:style>
  <w:style w:type="character" w:customStyle="1" w:styleId="95">
    <w:name w:val="graytext1"/>
    <w:autoRedefine/>
    <w:qFormat/>
    <w:uiPriority w:val="0"/>
    <w:rPr>
      <w:rFonts w:ascii="Times New Roman" w:hAnsi="Times New Roman" w:eastAsia="宋体" w:cs="Times New Roman"/>
      <w:color w:val="666666"/>
    </w:rPr>
  </w:style>
  <w:style w:type="character" w:customStyle="1" w:styleId="96">
    <w:name w:val="unnamed3"/>
    <w:qFormat/>
    <w:uiPriority w:val="0"/>
    <w:rPr>
      <w:rFonts w:ascii="Times New Roman" w:hAnsi="Times New Roman" w:eastAsia="宋体" w:cs="Times New Roman"/>
    </w:rPr>
  </w:style>
  <w:style w:type="character" w:customStyle="1" w:styleId="97">
    <w:name w:val="text11"/>
    <w:autoRedefine/>
    <w:qFormat/>
    <w:uiPriority w:val="0"/>
    <w:rPr>
      <w:rFonts w:hint="default" w:ascii="Verdana" w:hAnsi="Verdana" w:eastAsia="宋体" w:cs="Times New Roman"/>
      <w:color w:val="4E4E4E"/>
      <w:sz w:val="18"/>
      <w:szCs w:val="18"/>
    </w:rPr>
  </w:style>
  <w:style w:type="character" w:customStyle="1" w:styleId="98">
    <w:name w:val="标题5 Char Char"/>
    <w:link w:val="99"/>
    <w:autoRedefine/>
    <w:qFormat/>
    <w:uiPriority w:val="0"/>
    <w:rPr>
      <w:rFonts w:ascii="Arial" w:hAnsi="Arial" w:eastAsia="宋体" w:cs="Times New Roman"/>
      <w:b/>
      <w:bCs/>
      <w:sz w:val="24"/>
      <w:szCs w:val="32"/>
    </w:rPr>
  </w:style>
  <w:style w:type="paragraph" w:customStyle="1" w:styleId="99">
    <w:name w:val="标题5"/>
    <w:basedOn w:val="4"/>
    <w:link w:val="98"/>
    <w:autoRedefine/>
    <w:qFormat/>
    <w:uiPriority w:val="0"/>
    <w:rPr>
      <w:rFonts w:ascii="Arial" w:hAnsi="Arial"/>
      <w:kern w:val="0"/>
      <w:sz w:val="24"/>
    </w:rPr>
  </w:style>
  <w:style w:type="character" w:customStyle="1" w:styleId="100">
    <w:name w:val="small"/>
    <w:autoRedefine/>
    <w:qFormat/>
    <w:uiPriority w:val="0"/>
    <w:rPr>
      <w:rFonts w:ascii="Times New Roman" w:hAnsi="Times New Roman" w:eastAsia="宋体" w:cs="Times New Roman"/>
    </w:rPr>
  </w:style>
  <w:style w:type="character" w:customStyle="1" w:styleId="101">
    <w:name w:val="纯文本 Char1"/>
    <w:autoRedefine/>
    <w:qFormat/>
    <w:uiPriority w:val="0"/>
    <w:rPr>
      <w:rFonts w:ascii="宋体" w:hAnsi="Courier New" w:eastAsia="宋体" w:cs="Courier New"/>
      <w:kern w:val="2"/>
      <w:sz w:val="21"/>
      <w:szCs w:val="21"/>
      <w:lang w:val="en-US" w:eastAsia="zh-CN" w:bidi="ar-SA"/>
    </w:rPr>
  </w:style>
  <w:style w:type="character" w:customStyle="1" w:styleId="102">
    <w:name w:val="p12"/>
    <w:autoRedefine/>
    <w:qFormat/>
    <w:uiPriority w:val="0"/>
    <w:rPr>
      <w:rFonts w:ascii="Times New Roman" w:hAnsi="Times New Roman" w:eastAsia="宋体" w:cs="Times New Roman"/>
      <w:kern w:val="2"/>
      <w:sz w:val="24"/>
      <w:lang w:val="en-US" w:eastAsia="zh-CN"/>
    </w:rPr>
  </w:style>
  <w:style w:type="character" w:customStyle="1" w:styleId="103">
    <w:name w:val="标题4 Char Char"/>
    <w:link w:val="104"/>
    <w:autoRedefine/>
    <w:qFormat/>
    <w:uiPriority w:val="0"/>
    <w:rPr>
      <w:rFonts w:ascii="Arial" w:hAnsi="Arial" w:eastAsia="宋体" w:cs="Times New Roman"/>
      <w:b/>
      <w:bCs/>
      <w:sz w:val="24"/>
      <w:szCs w:val="32"/>
    </w:rPr>
  </w:style>
  <w:style w:type="paragraph" w:customStyle="1" w:styleId="104">
    <w:name w:val="标题4"/>
    <w:basedOn w:val="3"/>
    <w:next w:val="27"/>
    <w:link w:val="103"/>
    <w:autoRedefine/>
    <w:qFormat/>
    <w:uiPriority w:val="0"/>
    <w:pPr>
      <w:spacing w:before="60" w:after="60"/>
    </w:pPr>
    <w:rPr>
      <w:rFonts w:eastAsia="宋体"/>
      <w:kern w:val="0"/>
      <w:sz w:val="24"/>
    </w:rPr>
  </w:style>
  <w:style w:type="character" w:customStyle="1" w:styleId="105">
    <w:name w:val="short_text1"/>
    <w:autoRedefine/>
    <w:qFormat/>
    <w:uiPriority w:val="0"/>
    <w:rPr>
      <w:rFonts w:ascii="Times New Roman" w:hAnsi="Times New Roman" w:eastAsia="宋体" w:cs="Times New Roman"/>
      <w:sz w:val="26"/>
    </w:rPr>
  </w:style>
  <w:style w:type="character" w:customStyle="1" w:styleId="106">
    <w:name w:val="彩色网格 - 强调文字颜色 1 Char"/>
    <w:link w:val="107"/>
    <w:autoRedefine/>
    <w:qFormat/>
    <w:uiPriority w:val="0"/>
    <w:rPr>
      <w:rFonts w:ascii="Times New Roman" w:hAnsi="Times New Roman" w:eastAsia="宋体" w:cs="Times New Roman"/>
      <w:i/>
      <w:iCs/>
      <w:color w:val="000000"/>
    </w:rPr>
  </w:style>
  <w:style w:type="paragraph" w:customStyle="1" w:styleId="107">
    <w:name w:val="彩色网格 - 强调文字颜色 11"/>
    <w:basedOn w:val="1"/>
    <w:next w:val="1"/>
    <w:link w:val="106"/>
    <w:qFormat/>
    <w:uiPriority w:val="0"/>
    <w:rPr>
      <w:rFonts w:ascii="Times New Roman" w:hAnsi="Times New Roman"/>
      <w:i/>
      <w:iCs/>
      <w:color w:val="000000"/>
      <w:kern w:val="0"/>
      <w:sz w:val="20"/>
      <w:szCs w:val="20"/>
    </w:rPr>
  </w:style>
  <w:style w:type="character" w:customStyle="1" w:styleId="108">
    <w:name w:val="1ji Char"/>
    <w:link w:val="109"/>
    <w:qFormat/>
    <w:uiPriority w:val="0"/>
    <w:rPr>
      <w:rFonts w:ascii="宋体" w:hAnsi="宋体" w:eastAsia="宋体" w:cs="Times New Roman"/>
      <w:b/>
      <w:bCs/>
      <w:kern w:val="44"/>
      <w:sz w:val="36"/>
      <w:szCs w:val="44"/>
      <w:lang w:val="en-US" w:eastAsia="zh-CN" w:bidi="ar-SA"/>
    </w:rPr>
  </w:style>
  <w:style w:type="paragraph" w:customStyle="1" w:styleId="109">
    <w:name w:val="1ji"/>
    <w:basedOn w:val="2"/>
    <w:link w:val="108"/>
    <w:qFormat/>
    <w:uiPriority w:val="0"/>
    <w:pPr>
      <w:keepLines w:val="0"/>
      <w:widowControl/>
      <w:spacing w:before="0" w:beforeLines="0" w:after="0" w:afterLines="0" w:line="240" w:lineRule="auto"/>
      <w:jc w:val="center"/>
    </w:pPr>
    <w:rPr>
      <w:rFonts w:ascii="宋体" w:hAnsi="宋体" w:eastAsia="宋体"/>
      <w:b/>
      <w:sz w:val="36"/>
    </w:rPr>
  </w:style>
  <w:style w:type="character" w:customStyle="1" w:styleId="110">
    <w:name w:val="浅色底纹 - 强调文字颜色 2 Char"/>
    <w:link w:val="111"/>
    <w:autoRedefine/>
    <w:qFormat/>
    <w:uiPriority w:val="0"/>
    <w:rPr>
      <w:rFonts w:ascii="Times New Roman" w:hAnsi="Times New Roman" w:eastAsia="宋体" w:cs="Times New Roman"/>
      <w:b/>
      <w:bCs/>
      <w:i/>
      <w:iCs/>
      <w:color w:val="4F81BD"/>
    </w:rPr>
  </w:style>
  <w:style w:type="paragraph" w:customStyle="1" w:styleId="111">
    <w:name w:val="浅色底纹 - 强调文字颜色 21"/>
    <w:basedOn w:val="1"/>
    <w:next w:val="1"/>
    <w:link w:val="110"/>
    <w:autoRedefine/>
    <w:qFormat/>
    <w:uiPriority w:val="0"/>
    <w:pPr>
      <w:pBdr>
        <w:bottom w:val="single" w:color="4F81BD" w:sz="4" w:space="4"/>
      </w:pBdr>
      <w:spacing w:before="200" w:after="280"/>
      <w:ind w:left="936" w:right="936"/>
    </w:pPr>
    <w:rPr>
      <w:rFonts w:ascii="Times New Roman" w:hAnsi="Times New Roman"/>
      <w:b/>
      <w:bCs/>
      <w:i/>
      <w:iCs/>
      <w:color w:val="4F81BD"/>
      <w:kern w:val="0"/>
      <w:sz w:val="20"/>
      <w:szCs w:val="20"/>
    </w:rPr>
  </w:style>
  <w:style w:type="character" w:customStyle="1" w:styleId="112">
    <w:name w:val="f151"/>
    <w:uiPriority w:val="0"/>
    <w:rPr>
      <w:rFonts w:ascii="Times New Roman" w:hAnsi="Times New Roman" w:eastAsia="宋体" w:cs="Times New Roman"/>
      <w:sz w:val="23"/>
      <w:szCs w:val="23"/>
    </w:rPr>
  </w:style>
  <w:style w:type="character" w:customStyle="1" w:styleId="113">
    <w:name w:val="to"/>
    <w:uiPriority w:val="0"/>
    <w:rPr>
      <w:rFonts w:ascii="Times New Roman" w:hAnsi="Times New Roman" w:eastAsia="宋体" w:cs="Times New Roman"/>
    </w:rPr>
  </w:style>
  <w:style w:type="character" w:customStyle="1" w:styleId="114">
    <w:name w:val="white"/>
    <w:autoRedefine/>
    <w:qFormat/>
    <w:uiPriority w:val="0"/>
    <w:rPr>
      <w:rFonts w:ascii="Times New Roman" w:hAnsi="Times New Roman" w:eastAsia="宋体" w:cs="Times New Roman"/>
    </w:rPr>
  </w:style>
  <w:style w:type="character" w:customStyle="1" w:styleId="115">
    <w:name w:val="脚注文本 Char1"/>
    <w:autoRedefine/>
    <w:qFormat/>
    <w:uiPriority w:val="0"/>
    <w:rPr>
      <w:rFonts w:ascii="Times New Roman" w:hAnsi="Times New Roman" w:eastAsia="宋体" w:cs="Times New Roman"/>
      <w:kern w:val="2"/>
      <w:sz w:val="18"/>
      <w:szCs w:val="18"/>
    </w:rPr>
  </w:style>
  <w:style w:type="character" w:customStyle="1" w:styleId="116">
    <w:name w:val="062"/>
    <w:uiPriority w:val="0"/>
    <w:rPr>
      <w:rFonts w:ascii="宋体" w:hAnsi="宋体" w:eastAsia="宋体" w:cs="Times New Roman"/>
      <w:b/>
      <w:bCs/>
      <w:sz w:val="32"/>
    </w:rPr>
  </w:style>
  <w:style w:type="character" w:customStyle="1" w:styleId="117">
    <w:name w:val="gray12"/>
    <w:autoRedefine/>
    <w:qFormat/>
    <w:uiPriority w:val="0"/>
    <w:rPr>
      <w:rFonts w:ascii="Times New Roman" w:hAnsi="Times New Roman" w:eastAsia="宋体" w:cs="Times New Roman"/>
    </w:rPr>
  </w:style>
  <w:style w:type="character" w:customStyle="1" w:styleId="118">
    <w:name w:val="style21"/>
    <w:autoRedefine/>
    <w:qFormat/>
    <w:uiPriority w:val="0"/>
    <w:rPr>
      <w:rFonts w:ascii="Times New Roman" w:hAnsi="Times New Roman" w:eastAsia="宋体" w:cs="Times New Roman"/>
      <w:sz w:val="17"/>
      <w:szCs w:val="17"/>
    </w:rPr>
  </w:style>
  <w:style w:type="character" w:customStyle="1" w:styleId="119">
    <w:name w:val="mark8"/>
    <w:autoRedefine/>
    <w:qFormat/>
    <w:uiPriority w:val="0"/>
    <w:rPr>
      <w:rFonts w:ascii="Times New Roman" w:hAnsi="Times New Roman" w:eastAsia="宋体" w:cs="Times New Roman"/>
      <w:b/>
      <w:bCs/>
      <w:sz w:val="21"/>
      <w:szCs w:val="21"/>
    </w:rPr>
  </w:style>
  <w:style w:type="character" w:customStyle="1" w:styleId="120">
    <w:name w:val="1051"/>
    <w:autoRedefine/>
    <w:qFormat/>
    <w:uiPriority w:val="0"/>
    <w:rPr>
      <w:rFonts w:ascii="Times New Roman" w:hAnsi="Times New Roman" w:eastAsia="宋体" w:cs="Times New Roman"/>
      <w:sz w:val="21"/>
      <w:szCs w:val="21"/>
    </w:rPr>
  </w:style>
  <w:style w:type="character" w:customStyle="1" w:styleId="121">
    <w:name w:val="引用 Char2"/>
    <w:qFormat/>
    <w:uiPriority w:val="0"/>
    <w:rPr>
      <w:rFonts w:ascii="Times New Roman" w:hAnsi="Times New Roman" w:eastAsia="宋体" w:cs="Times New Roman"/>
      <w:i/>
      <w:iCs/>
      <w:color w:val="000000"/>
      <w:kern w:val="2"/>
      <w:sz w:val="21"/>
      <w:szCs w:val="24"/>
    </w:rPr>
  </w:style>
  <w:style w:type="paragraph" w:customStyle="1" w:styleId="122">
    <w:name w:val="xl31"/>
    <w:basedOn w:val="1"/>
    <w:autoRedefine/>
    <w:qFormat/>
    <w:uiPriority w:val="0"/>
    <w:pPr>
      <w:widowControl/>
      <w:pBdr>
        <w:bottom w:val="single" w:color="auto" w:sz="4" w:space="0"/>
        <w:right w:val="single" w:color="auto" w:sz="4" w:space="0"/>
      </w:pBdr>
      <w:spacing w:before="100" w:beforeLines="0" w:beforeAutospacing="1" w:after="100" w:afterLines="0" w:afterAutospacing="1"/>
      <w:jc w:val="center"/>
    </w:pPr>
    <w:rPr>
      <w:rFonts w:ascii="宋体" w:hAnsi="宋体" w:eastAsia="宋体" w:cs="Times New Roman"/>
      <w:kern w:val="0"/>
      <w:szCs w:val="21"/>
    </w:rPr>
  </w:style>
  <w:style w:type="paragraph" w:customStyle="1" w:styleId="123">
    <w:name w:val="彩色列表 - 强调文字颜色 11"/>
    <w:basedOn w:val="1"/>
    <w:autoRedefine/>
    <w:qFormat/>
    <w:uiPriority w:val="0"/>
    <w:pPr>
      <w:ind w:firstLine="420" w:firstLineChars="200"/>
    </w:pPr>
    <w:rPr>
      <w:rFonts w:ascii="Calibri" w:hAnsi="Calibri" w:eastAsia="宋体" w:cs="Times New Roman"/>
      <w:szCs w:val="22"/>
    </w:rPr>
  </w:style>
  <w:style w:type="paragraph" w:customStyle="1" w:styleId="124">
    <w:name w:val="List Paragraph"/>
    <w:basedOn w:val="1"/>
    <w:autoRedefine/>
    <w:qFormat/>
    <w:uiPriority w:val="0"/>
    <w:pPr>
      <w:ind w:firstLine="420" w:firstLineChars="200"/>
    </w:pPr>
    <w:rPr>
      <w:rFonts w:ascii="Calibri" w:hAnsi="Calibri" w:eastAsia="宋体" w:cs="Times New Roman"/>
      <w:szCs w:val="22"/>
    </w:rPr>
  </w:style>
  <w:style w:type="paragraph" w:customStyle="1" w:styleId="125">
    <w:name w:val="缺省文本"/>
    <w:basedOn w:val="1"/>
    <w:autoRedefine/>
    <w:qFormat/>
    <w:uiPriority w:val="0"/>
    <w:pPr>
      <w:autoSpaceDE w:val="0"/>
      <w:autoSpaceDN w:val="0"/>
      <w:adjustRightInd w:val="0"/>
      <w:spacing w:line="360" w:lineRule="auto"/>
      <w:jc w:val="left"/>
    </w:pPr>
    <w:rPr>
      <w:rFonts w:ascii="Times New Roman" w:hAnsi="Times New Roman" w:eastAsia="宋体" w:cs="Times New Roman"/>
      <w:kern w:val="0"/>
      <w:sz w:val="24"/>
      <w:szCs w:val="20"/>
    </w:rPr>
  </w:style>
  <w:style w:type="paragraph" w:customStyle="1" w:styleId="126">
    <w:name w:val="Char1"/>
    <w:basedOn w:val="1"/>
    <w:autoRedefine/>
    <w:qFormat/>
    <w:uiPriority w:val="0"/>
    <w:rPr>
      <w:rFonts w:ascii="Times New Roman" w:hAnsi="Times New Roman" w:eastAsia="宋体" w:cs="Times New Roman"/>
      <w:szCs w:val="21"/>
    </w:rPr>
  </w:style>
  <w:style w:type="paragraph" w:customStyle="1" w:styleId="127">
    <w:name w:val=" Char Char Char"/>
    <w:basedOn w:val="17"/>
    <w:autoRedefine/>
    <w:qFormat/>
    <w:uiPriority w:val="0"/>
    <w:pPr>
      <w:adjustRightInd/>
      <w:spacing w:line="240" w:lineRule="auto"/>
      <w:textAlignment w:val="auto"/>
    </w:pPr>
    <w:rPr>
      <w:rFonts w:ascii="Tahoma" w:hAnsi="Tahoma" w:eastAsia="宋体" w:cs="Times New Roman"/>
      <w:kern w:val="2"/>
      <w:sz w:val="24"/>
      <w:szCs w:val="24"/>
    </w:rPr>
  </w:style>
  <w:style w:type="paragraph" w:customStyle="1" w:styleId="128">
    <w:name w:val="List Paragraph1"/>
    <w:basedOn w:val="1"/>
    <w:autoRedefine/>
    <w:qFormat/>
    <w:uiPriority w:val="0"/>
    <w:pPr>
      <w:ind w:firstLine="420" w:firstLineChars="200"/>
    </w:pPr>
    <w:rPr>
      <w:rFonts w:ascii="Calibri" w:hAnsi="Calibri" w:eastAsia="宋体" w:cs="Times New Roman"/>
      <w:szCs w:val="22"/>
    </w:rPr>
  </w:style>
  <w:style w:type="paragraph" w:customStyle="1" w:styleId="129">
    <w:name w:val="次小点说明 Char"/>
    <w:basedOn w:val="7"/>
    <w:autoRedefine/>
    <w:qFormat/>
    <w:uiPriority w:val="0"/>
    <w:pPr>
      <w:ind w:firstLine="0"/>
    </w:pPr>
    <w:rPr>
      <w:rFonts w:ascii="Times New Roman" w:hAnsi="Times New Roman" w:eastAsia="宋体" w:cs="Times New Roman"/>
      <w:sz w:val="24"/>
      <w:szCs w:val="24"/>
    </w:rPr>
  </w:style>
  <w:style w:type="paragraph" w:customStyle="1" w:styleId="130">
    <w:name w:val=" Char Char Char Char Char Char Char"/>
    <w:basedOn w:val="1"/>
    <w:autoRedefine/>
    <w:qFormat/>
    <w:uiPriority w:val="0"/>
    <w:rPr>
      <w:rFonts w:ascii="Times New Roman" w:hAnsi="Times New Roman" w:eastAsia="宋体" w:cs="Times New Roman"/>
    </w:rPr>
  </w:style>
  <w:style w:type="paragraph" w:customStyle="1" w:styleId="131">
    <w:name w:val="2-2ji"/>
    <w:basedOn w:val="3"/>
    <w:autoRedefine/>
    <w:qFormat/>
    <w:uiPriority w:val="0"/>
    <w:pPr>
      <w:adjustRightInd w:val="0"/>
      <w:spacing w:before="0" w:beforeLines="0" w:after="0" w:afterLines="0" w:line="360" w:lineRule="auto"/>
      <w:jc w:val="center"/>
      <w:textAlignment w:val="baseline"/>
    </w:pPr>
    <w:rPr>
      <w:rFonts w:ascii="宋体" w:hAnsi="宋体" w:eastAsia="宋体" w:cs="Times New Roman"/>
      <w:bCs w:val="0"/>
      <w:kern w:val="0"/>
      <w:sz w:val="36"/>
    </w:rPr>
  </w:style>
  <w:style w:type="paragraph" w:customStyle="1" w:styleId="132">
    <w:name w:val="_Style 101"/>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
    <w:name w:val="正文段"/>
    <w:basedOn w:val="1"/>
    <w:autoRedefine/>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134">
    <w:name w:val="Fließtext"/>
    <w:basedOn w:val="1"/>
    <w:autoRedefine/>
    <w:qFormat/>
    <w:uiPriority w:val="0"/>
    <w:pPr>
      <w:overflowPunct w:val="0"/>
      <w:autoSpaceDE w:val="0"/>
      <w:autoSpaceDN w:val="0"/>
      <w:adjustRightInd w:val="0"/>
      <w:textAlignment w:val="baseline"/>
    </w:pPr>
    <w:rPr>
      <w:kern w:val="28"/>
    </w:rPr>
  </w:style>
  <w:style w:type="paragraph" w:customStyle="1" w:styleId="135">
    <w:name w:val="表格文字"/>
    <w:basedOn w:val="1"/>
    <w:next w:val="1"/>
    <w:autoRedefine/>
    <w:qFormat/>
    <w:uiPriority w:val="0"/>
    <w:pPr>
      <w:spacing w:before="25" w:after="25"/>
      <w:jc w:val="left"/>
    </w:pPr>
    <w:rPr>
      <w:bCs/>
      <w:spacing w:val="10"/>
      <w:kern w:val="0"/>
      <w:sz w:val="24"/>
    </w:rPr>
  </w:style>
  <w:style w:type="paragraph" w:customStyle="1" w:styleId="136">
    <w:name w:val="p16"/>
    <w:basedOn w:val="1"/>
    <w:autoRedefine/>
    <w:qFormat/>
    <w:uiPriority w:val="0"/>
    <w:pPr>
      <w:wordWrap/>
      <w:ind w:firstLine="420"/>
    </w:pPr>
    <w:rPr>
      <w:rFonts w:ascii="Times New Roman" w:eastAsia="宋体"/>
      <w:sz w:val="20"/>
    </w:rPr>
  </w:style>
  <w:style w:type="paragraph" w:customStyle="1" w:styleId="137">
    <w:name w:val="正文首行缩进两字符"/>
    <w:basedOn w:val="1"/>
    <w:autoRedefine/>
    <w:qFormat/>
    <w:uiPriority w:val="0"/>
    <w:pPr>
      <w:spacing w:line="360" w:lineRule="auto"/>
      <w:ind w:firstLine="200" w:firstLineChars="200"/>
    </w:pPr>
    <w:rPr>
      <w:rFonts w:ascii="Times New Roman" w:hAnsi="Times New Roman" w:eastAsia="宋体" w:cs="Times New Roman"/>
    </w:rPr>
  </w:style>
  <w:style w:type="paragraph" w:customStyle="1" w:styleId="138">
    <w:name w:val="p0"/>
    <w:basedOn w:val="1"/>
    <w:autoRedefine/>
    <w:qFormat/>
    <w:uiPriority w:val="0"/>
    <w:pPr>
      <w:widowControl/>
    </w:pPr>
    <w:rPr>
      <w:rFonts w:ascii="Calibri" w:hAnsi="Calibri" w:eastAsia="宋体" w:cs="宋体"/>
      <w:kern w:val="0"/>
      <w:szCs w:val="21"/>
    </w:rPr>
  </w:style>
  <w:style w:type="paragraph" w:customStyle="1" w:styleId="139">
    <w:name w:val="F2"/>
    <w:basedOn w:val="1"/>
    <w:autoRedefine/>
    <w:qFormat/>
    <w:uiPriority w:val="0"/>
    <w:pPr>
      <w:autoSpaceDE w:val="0"/>
      <w:autoSpaceDN w:val="0"/>
      <w:adjustRightInd w:val="0"/>
      <w:ind w:firstLine="601"/>
      <w:textAlignment w:val="baseline"/>
    </w:pPr>
    <w:rPr>
      <w:rFonts w:ascii="Times New Roman" w:hAnsi="Times New Roman" w:eastAsia="宋体" w:cs="Times New Roman"/>
      <w:kern w:val="0"/>
      <w:sz w:val="24"/>
      <w:szCs w:val="20"/>
    </w:rPr>
  </w:style>
  <w:style w:type="paragraph" w:customStyle="1" w:styleId="140">
    <w:name w:val="样式 首行缩进:  2 字符"/>
    <w:basedOn w:val="1"/>
    <w:autoRedefine/>
    <w:qFormat/>
    <w:uiPriority w:val="0"/>
    <w:pPr>
      <w:spacing w:line="400" w:lineRule="exact"/>
      <w:ind w:firstLine="200" w:firstLineChars="200"/>
    </w:pPr>
    <w:rPr>
      <w:rFonts w:ascii="Times New Roman" w:hAnsi="Times New Roman" w:eastAsia="宋体" w:cs="宋体"/>
      <w:sz w:val="24"/>
    </w:rPr>
  </w:style>
  <w:style w:type="paragraph" w:customStyle="1" w:styleId="141">
    <w:name w:val="首行缩进"/>
    <w:basedOn w:val="1"/>
    <w:autoRedefine/>
    <w:qFormat/>
    <w:uiPriority w:val="0"/>
    <w:pPr>
      <w:ind w:firstLine="480" w:firstLineChars="200"/>
    </w:pPr>
  </w:style>
  <w:style w:type="paragraph" w:customStyle="1" w:styleId="142">
    <w:name w:val=" Char Char Char Char"/>
    <w:basedOn w:val="1"/>
    <w:autoRedefine/>
    <w:qFormat/>
    <w:uiPriority w:val="0"/>
    <w:pPr>
      <w:widowControl/>
      <w:spacing w:after="160" w:afterLines="0" w:line="240" w:lineRule="exact"/>
      <w:jc w:val="left"/>
    </w:pPr>
    <w:rPr>
      <w:rFonts w:ascii="Verdana" w:hAnsi="Verdana" w:eastAsia="仿宋_GB2312" w:cs="Times New Roman"/>
      <w:kern w:val="0"/>
      <w:sz w:val="24"/>
      <w:szCs w:val="20"/>
      <w:lang w:eastAsia="en-US"/>
    </w:rPr>
  </w:style>
  <w:style w:type="paragraph" w:customStyle="1" w:styleId="143">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44">
    <w:name w:val="1"/>
    <w:basedOn w:val="1"/>
    <w:next w:val="30"/>
    <w:autoRedefine/>
    <w:qFormat/>
    <w:uiPriority w:val="0"/>
    <w:rPr>
      <w:rFonts w:ascii="宋体" w:hAnsi="Courier New" w:eastAsia="宋体" w:cs="Times New Roman"/>
      <w:szCs w:val="20"/>
    </w:rPr>
  </w:style>
  <w:style w:type="paragraph" w:customStyle="1" w:styleId="145">
    <w:name w:val=" Char Char Char Char Char Char1 Char"/>
    <w:basedOn w:val="1"/>
    <w:autoRedefine/>
    <w:qFormat/>
    <w:uiPriority w:val="0"/>
    <w:pPr>
      <w:widowControl/>
      <w:spacing w:after="160" w:afterLines="0" w:line="240" w:lineRule="exact"/>
      <w:jc w:val="left"/>
    </w:pPr>
    <w:rPr>
      <w:rFonts w:ascii="Arial" w:hAnsi="Arial" w:eastAsia="Times New Roman" w:cs="Verdana"/>
      <w:b/>
      <w:kern w:val="0"/>
      <w:sz w:val="24"/>
      <w:szCs w:val="20"/>
      <w:lang w:eastAsia="en-US"/>
    </w:rPr>
  </w:style>
  <w:style w:type="paragraph" w:customStyle="1" w:styleId="146">
    <w:name w:val="默认段落字体 Para Char"/>
    <w:basedOn w:val="1"/>
    <w:autoRedefine/>
    <w:qFormat/>
    <w:uiPriority w:val="0"/>
    <w:pPr>
      <w:adjustRightInd w:val="0"/>
      <w:spacing w:line="360" w:lineRule="auto"/>
    </w:pPr>
    <w:rPr>
      <w:rFonts w:ascii="Times New Roman" w:hAnsi="Times New Roman" w:eastAsia="宋体" w:cs="Times New Roman"/>
      <w:kern w:val="0"/>
      <w:sz w:val="24"/>
      <w:szCs w:val="20"/>
    </w:rPr>
  </w:style>
  <w:style w:type="paragraph" w:customStyle="1" w:styleId="147">
    <w:name w:val="Char Char Char"/>
    <w:basedOn w:val="1"/>
    <w:autoRedefine/>
    <w:qFormat/>
    <w:uiPriority w:val="0"/>
    <w:rPr>
      <w:rFonts w:ascii="Tahoma" w:hAnsi="Tahoma" w:eastAsia="宋体" w:cs="Times New Roman"/>
      <w:sz w:val="24"/>
      <w:szCs w:val="20"/>
    </w:rPr>
  </w:style>
  <w:style w:type="paragraph" w:customStyle="1" w:styleId="148">
    <w:name w:val="Table Text"/>
    <w:basedOn w:val="1"/>
    <w:autoRedefine/>
    <w:semiHidden/>
    <w:qFormat/>
    <w:uiPriority w:val="0"/>
    <w:rPr>
      <w:rFonts w:ascii="宋体" w:hAnsi="宋体" w:eastAsia="宋体" w:cs="宋体"/>
      <w:sz w:val="21"/>
      <w:szCs w:val="21"/>
      <w:lang w:val="en-US" w:eastAsia="en-US" w:bidi="ar-SA"/>
    </w:rPr>
  </w:style>
  <w:style w:type="paragraph" w:customStyle="1" w:styleId="149">
    <w:name w:val="五号正文（标准）"/>
    <w:basedOn w:val="1"/>
    <w:autoRedefine/>
    <w:qFormat/>
    <w:uiPriority w:val="0"/>
    <w:pPr>
      <w:spacing w:line="360" w:lineRule="auto"/>
      <w:ind w:right="55" w:firstLine="560" w:firstLineChars="200"/>
    </w:pPr>
    <w:rPr>
      <w:rFonts w:ascii="Times New Roman" w:hAnsi="Times New Roman" w:eastAsia="仿宋_GB2312" w:cs="Times New Roman"/>
      <w:sz w:val="28"/>
      <w:szCs w:val="20"/>
    </w:rPr>
  </w:style>
  <w:style w:type="paragraph" w:customStyle="1" w:styleId="150">
    <w:name w:val="表内文字"/>
    <w:basedOn w:val="1"/>
    <w:autoRedefine/>
    <w:qFormat/>
    <w:uiPriority w:val="0"/>
    <w:pPr>
      <w:snapToGrid w:val="0"/>
      <w:spacing w:before="50" w:beforeLines="0" w:after="50" w:afterLines="0"/>
      <w:jc w:val="center"/>
    </w:pPr>
    <w:rPr>
      <w:rFonts w:ascii="仿宋_GB2312" w:hAnsi="宋体" w:eastAsia="仿宋_GB2312" w:cs="Times New Roman"/>
      <w:b/>
      <w:color w:val="000000"/>
      <w:sz w:val="32"/>
      <w:szCs w:val="32"/>
    </w:rPr>
  </w:style>
  <w:style w:type="paragraph" w:customStyle="1" w:styleId="151">
    <w:name w:val="样式 标题 2 + Times New Roman 四号 非加粗 段前: 5 磅 段后: 0 磅 行距: 固定值 20..."/>
    <w:basedOn w:val="3"/>
    <w:autoRedefine/>
    <w:qFormat/>
    <w:uiPriority w:val="0"/>
    <w:pPr>
      <w:spacing w:before="100" w:beforeLines="0" w:after="0" w:afterLines="0" w:line="400" w:lineRule="exact"/>
    </w:pPr>
    <w:rPr>
      <w:rFonts w:ascii="Times New Roman" w:hAnsi="Times New Roman" w:eastAsia="宋体" w:cs="宋体"/>
      <w:b w:val="0"/>
      <w:bCs w:val="0"/>
      <w:sz w:val="28"/>
      <w:szCs w:val="20"/>
    </w:rPr>
  </w:style>
  <w:style w:type="paragraph" w:customStyle="1" w:styleId="152">
    <w:name w:val="样式1"/>
    <w:basedOn w:val="1"/>
    <w:autoRedefine/>
    <w:qFormat/>
    <w:uiPriority w:val="0"/>
    <w:pPr>
      <w:spacing w:before="120" w:beforeLines="0" w:after="120" w:afterLines="0" w:line="300" w:lineRule="auto"/>
    </w:pPr>
    <w:rPr>
      <w:rFonts w:ascii="宋体" w:hAnsi="宋体" w:eastAsia="宋体" w:cs="Times New Roman"/>
      <w:b/>
      <w:sz w:val="24"/>
      <w:szCs w:val="20"/>
    </w:rPr>
  </w:style>
  <w:style w:type="paragraph" w:customStyle="1" w:styleId="153">
    <w:name w:val="xl30"/>
    <w:basedOn w:val="1"/>
    <w:autoRedefine/>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pPr>
    <w:rPr>
      <w:rFonts w:ascii="Times New Roman" w:hAnsi="Times New Roman" w:eastAsia="宋体" w:cs="Times New Roman"/>
      <w:kern w:val="0"/>
      <w:szCs w:val="21"/>
    </w:rPr>
  </w:style>
  <w:style w:type="paragraph" w:customStyle="1" w:styleId="154">
    <w:name w:val="xl26"/>
    <w:basedOn w:val="1"/>
    <w:autoRedefine/>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pPr>
    <w:rPr>
      <w:rFonts w:ascii="Times New Roman" w:hAnsi="Times New Roman" w:eastAsia="宋体" w:cs="Times New Roman"/>
      <w:kern w:val="0"/>
      <w:szCs w:val="21"/>
    </w:rPr>
  </w:style>
  <w:style w:type="paragraph" w:customStyle="1" w:styleId="155">
    <w:name w:val="Table Paragraph"/>
    <w:basedOn w:val="1"/>
    <w:autoRedefine/>
    <w:qFormat/>
    <w:uiPriority w:val="0"/>
    <w:rPr>
      <w:rFonts w:ascii="Times New Roman" w:hAnsi="Times New Roman" w:eastAsia="宋体" w:cs="Times New Roman"/>
    </w:rPr>
  </w:style>
  <w:style w:type="paragraph" w:customStyle="1" w:styleId="156">
    <w:name w:val=" Char2"/>
    <w:basedOn w:val="1"/>
    <w:autoRedefine/>
    <w:qFormat/>
    <w:uiPriority w:val="0"/>
    <w:pPr>
      <w:widowControl/>
      <w:spacing w:after="160" w:afterLines="0" w:line="240" w:lineRule="exact"/>
      <w:jc w:val="left"/>
    </w:pPr>
    <w:rPr>
      <w:rFonts w:ascii="Verdana" w:hAnsi="Verdana" w:eastAsia="宋体" w:cs="Times New Roman"/>
      <w:kern w:val="0"/>
      <w:szCs w:val="20"/>
      <w:lang w:eastAsia="en-US"/>
    </w:rPr>
  </w:style>
  <w:style w:type="paragraph" w:customStyle="1" w:styleId="157">
    <w:name w:val="xl21"/>
    <w:basedOn w:val="1"/>
    <w:autoRedefine/>
    <w:qFormat/>
    <w:uiPriority w:val="0"/>
    <w:pPr>
      <w:widowControl/>
      <w:spacing w:before="100" w:beforeLines="0" w:beforeAutospacing="1" w:after="100" w:afterLines="0" w:afterAutospacing="1"/>
      <w:jc w:val="center"/>
    </w:pPr>
    <w:rPr>
      <w:rFonts w:ascii="宋体" w:hAnsi="宋体" w:eastAsia="宋体" w:cs="Times New Roman"/>
      <w:b/>
      <w:bCs/>
      <w:kern w:val="0"/>
      <w:sz w:val="28"/>
      <w:szCs w:val="28"/>
    </w:rPr>
  </w:style>
  <w:style w:type="paragraph" w:customStyle="1" w:styleId="158">
    <w:name w:val="2ji"/>
    <w:basedOn w:val="3"/>
    <w:autoRedefine/>
    <w:qFormat/>
    <w:uiPriority w:val="0"/>
    <w:pPr>
      <w:adjustRightInd w:val="0"/>
      <w:spacing w:before="0" w:beforeLines="0" w:after="0" w:afterLines="0" w:line="360" w:lineRule="auto"/>
      <w:textAlignment w:val="baseline"/>
    </w:pPr>
    <w:rPr>
      <w:rFonts w:ascii="宋体" w:hAnsi="宋体" w:eastAsia="宋体" w:cs="Times New Roman"/>
      <w:kern w:val="0"/>
      <w:sz w:val="21"/>
      <w:szCs w:val="21"/>
    </w:rPr>
  </w:style>
  <w:style w:type="paragraph" w:customStyle="1" w:styleId="159">
    <w:name w:val="444"/>
    <w:basedOn w:val="1"/>
    <w:autoRedefine/>
    <w:qFormat/>
    <w:uiPriority w:val="0"/>
    <w:pPr>
      <w:adjustRightInd w:val="0"/>
      <w:spacing w:line="312" w:lineRule="atLeast"/>
      <w:jc w:val="center"/>
      <w:textAlignment w:val="baseline"/>
    </w:pPr>
    <w:rPr>
      <w:rFonts w:ascii="Times New Roman" w:hAnsi="Times New Roman" w:eastAsia="宋体" w:cs="Times New Roman"/>
      <w:b/>
      <w:kern w:val="0"/>
      <w:sz w:val="36"/>
      <w:szCs w:val="36"/>
    </w:rPr>
  </w:style>
  <w:style w:type="paragraph" w:customStyle="1" w:styleId="160">
    <w:name w:val="a9"/>
    <w:basedOn w:val="1"/>
    <w:autoRedefine/>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customStyle="1" w:styleId="161">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eastAsia="宋体" w:cs="Times New Roman"/>
      <w:b/>
      <w:bCs/>
      <w:kern w:val="0"/>
      <w:sz w:val="24"/>
    </w:rPr>
  </w:style>
  <w:style w:type="paragraph" w:customStyle="1" w:styleId="162">
    <w:name w:val="默认段落字体 Para Char Char Char Char Char Char Char Char Char1 Char Char Char Char"/>
    <w:basedOn w:val="1"/>
    <w:autoRedefine/>
    <w:qFormat/>
    <w:uiPriority w:val="0"/>
    <w:rPr>
      <w:rFonts w:ascii="Tahoma" w:hAnsi="Tahoma" w:eastAsia="宋体" w:cs="Times New Roman"/>
      <w:sz w:val="24"/>
      <w:szCs w:val="20"/>
    </w:rPr>
  </w:style>
  <w:style w:type="paragraph" w:customStyle="1" w:styleId="163">
    <w:name w:val="普通 (Web)"/>
    <w:basedOn w:val="1"/>
    <w:autoRedefine/>
    <w:qFormat/>
    <w:uiPriority w:val="0"/>
    <w:pPr>
      <w:widowControl/>
      <w:spacing w:before="100" w:beforeLines="0" w:beforeAutospacing="1" w:after="100" w:afterLines="0" w:afterAutospacing="1"/>
      <w:jc w:val="left"/>
    </w:pPr>
    <w:rPr>
      <w:rFonts w:ascii="宋体" w:hAnsi="宋体" w:eastAsia="宋体" w:cs="Times New Roman"/>
      <w:kern w:val="0"/>
      <w:sz w:val="24"/>
    </w:rPr>
  </w:style>
  <w:style w:type="paragraph" w:customStyle="1" w:styleId="164">
    <w:name w:val=" Char Char Char Char Char Char Char Char Char Char Char Char Char Char Char Char"/>
    <w:basedOn w:val="1"/>
    <w:autoRedefine/>
    <w:qFormat/>
    <w:uiPriority w:val="0"/>
    <w:pPr>
      <w:tabs>
        <w:tab w:val="left" w:pos="360"/>
      </w:tabs>
      <w:spacing w:line="360" w:lineRule="auto"/>
      <w:ind w:left="482" w:firstLine="200" w:firstLineChars="200"/>
    </w:pPr>
    <w:rPr>
      <w:rFonts w:ascii="宋体" w:hAnsi="Times New Roman" w:eastAsia="宋体" w:cs="Times New Roman"/>
      <w:sz w:val="24"/>
    </w:rPr>
  </w:style>
  <w:style w:type="paragraph" w:customStyle="1" w:styleId="165">
    <w:name w:val=" Char Char Char Char Char Char Char Char Char Char Char Char Char"/>
    <w:basedOn w:val="17"/>
    <w:autoRedefine/>
    <w:qFormat/>
    <w:uiPriority w:val="0"/>
    <w:pPr>
      <w:adjustRightInd/>
      <w:spacing w:line="240" w:lineRule="auto"/>
      <w:textAlignment w:val="auto"/>
    </w:pPr>
    <w:rPr>
      <w:rFonts w:ascii="Tahoma" w:hAnsi="Tahoma" w:eastAsia="宋体" w:cs="Times New Roman"/>
      <w:kern w:val="2"/>
      <w:sz w:val="24"/>
      <w:szCs w:val="24"/>
    </w:rPr>
  </w:style>
  <w:style w:type="paragraph" w:customStyle="1" w:styleId="166">
    <w:name w:val="图"/>
    <w:basedOn w:val="1"/>
    <w:autoRedefine/>
    <w:qFormat/>
    <w:uiPriority w:val="0"/>
    <w:pPr>
      <w:keepNext/>
      <w:adjustRightInd w:val="0"/>
      <w:snapToGrid w:val="0"/>
      <w:spacing w:before="60" w:beforeLines="0" w:after="60" w:afterLines="0" w:line="300" w:lineRule="auto"/>
      <w:jc w:val="center"/>
    </w:pPr>
    <w:rPr>
      <w:rFonts w:ascii="Times New Roman" w:hAnsi="Times New Roman" w:eastAsia="宋体" w:cs="Times New Roman"/>
      <w:spacing w:val="20"/>
      <w:kern w:val="0"/>
      <w:sz w:val="24"/>
      <w:szCs w:val="20"/>
    </w:rPr>
  </w:style>
  <w:style w:type="paragraph" w:customStyle="1" w:styleId="167">
    <w:name w:val="默认段落字体 Para Char1"/>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68">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9">
    <w:name w:val=" Char"/>
    <w:basedOn w:val="1"/>
    <w:autoRedefine/>
    <w:qFormat/>
    <w:uiPriority w:val="0"/>
    <w:pPr>
      <w:tabs>
        <w:tab w:val="left" w:pos="360"/>
      </w:tabs>
      <w:ind w:left="252" w:hanging="252" w:hangingChars="140"/>
    </w:pPr>
    <w:rPr>
      <w:rFonts w:ascii="宋体" w:hAnsi="Times New Roman" w:eastAsia="宋体" w:cs="Times New Roman"/>
      <w:sz w:val="18"/>
      <w:szCs w:val="18"/>
    </w:rPr>
  </w:style>
  <w:style w:type="paragraph" w:customStyle="1" w:styleId="170">
    <w:name w:val="Char"/>
    <w:basedOn w:val="1"/>
    <w:autoRedefine/>
    <w:qFormat/>
    <w:uiPriority w:val="0"/>
    <w:pPr>
      <w:widowControl/>
      <w:spacing w:line="500" w:lineRule="exact"/>
      <w:outlineLvl w:val="2"/>
    </w:pPr>
    <w:rPr>
      <w:rFonts w:ascii="黑体" w:hAnsi="Verdana" w:eastAsia="黑体" w:cs="黑体"/>
      <w:kern w:val="0"/>
      <w:sz w:val="28"/>
      <w:szCs w:val="28"/>
      <w:lang w:eastAsia="en-US"/>
    </w:rPr>
  </w:style>
  <w:style w:type="paragraph" w:customStyle="1" w:styleId="171">
    <w:name w:val="样式 标题 3 + (中文) 黑体 小四 非加粗 段前: 7.8 磅 段后: 0 磅 行距: 固定值 20 磅"/>
    <w:basedOn w:val="4"/>
    <w:autoRedefine/>
    <w:qFormat/>
    <w:uiPriority w:val="0"/>
    <w:pPr>
      <w:spacing w:before="0" w:beforeLines="0" w:after="0" w:afterLines="0" w:line="400" w:lineRule="exact"/>
    </w:pPr>
    <w:rPr>
      <w:rFonts w:ascii="Times New Roman" w:hAnsi="Times New Roman" w:eastAsia="黑体" w:cs="宋体"/>
      <w:b w:val="0"/>
      <w:bCs w:val="0"/>
      <w:sz w:val="24"/>
      <w:szCs w:val="20"/>
    </w:rPr>
  </w:style>
  <w:style w:type="paragraph" w:customStyle="1" w:styleId="172">
    <w:name w:val="表格"/>
    <w:basedOn w:val="1"/>
    <w:autoRedefine/>
    <w:qFormat/>
    <w:uiPriority w:val="0"/>
    <w:pPr>
      <w:spacing w:line="400" w:lineRule="exact"/>
    </w:pPr>
    <w:rPr>
      <w:rFonts w:ascii="Times New Roman" w:hAnsi="Times New Roman" w:eastAsia="宋体" w:cs="Times New Roman"/>
      <w:sz w:val="24"/>
    </w:rPr>
  </w:style>
  <w:style w:type="paragraph" w:customStyle="1" w:styleId="17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4">
    <w:name w:val="tgt1"/>
    <w:basedOn w:val="1"/>
    <w:autoRedefine/>
    <w:qFormat/>
    <w:uiPriority w:val="0"/>
    <w:pPr>
      <w:widowControl/>
      <w:spacing w:after="150" w:afterLines="0"/>
      <w:jc w:val="left"/>
    </w:pPr>
    <w:rPr>
      <w:rFonts w:ascii="宋体" w:hAnsi="宋体" w:eastAsia="宋体" w:cs="宋体"/>
      <w:kern w:val="0"/>
      <w:sz w:val="24"/>
    </w:rPr>
  </w:style>
  <w:style w:type="paragraph" w:customStyle="1" w:styleId="175">
    <w:name w:val="列出段落1"/>
    <w:basedOn w:val="1"/>
    <w:autoRedefine/>
    <w:qFormat/>
    <w:uiPriority w:val="0"/>
    <w:pPr>
      <w:ind w:firstLine="420" w:firstLineChars="200"/>
    </w:pPr>
    <w:rPr>
      <w:rFonts w:ascii="Times New Roman" w:hAnsi="Times New Roman" w:eastAsia="宋体" w:cs="Times New Roman"/>
      <w:szCs w:val="24"/>
    </w:rPr>
  </w:style>
  <w:style w:type="table" w:customStyle="1" w:styleId="176">
    <w:name w:val="Table Normal"/>
    <w:autoRedefine/>
    <w:unhideWhenUsed/>
    <w:qFormat/>
    <w:uiPriority w:val="0"/>
    <w:rPr>
      <w:lang w:val="en-US" w:eastAsia="zh-CN" w:bidi="ar-SA"/>
    </w:rPr>
    <w:tblPr>
      <w:tblCellMar>
        <w:top w:w="0" w:type="dxa"/>
        <w:left w:w="0" w:type="dxa"/>
        <w:bottom w:w="0" w:type="dxa"/>
        <w:right w:w="0" w:type="dxa"/>
      </w:tblCellMar>
    </w:tblPr>
  </w:style>
  <w:style w:type="character" w:customStyle="1" w:styleId="177">
    <w:name w:val="font51"/>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6.xml"/><Relationship Id="rId20" Type="http://schemas.openxmlformats.org/officeDocument/2006/relationships/header" Target="header13.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footer" Target="footer5.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footer" Target="footer4.xml"/><Relationship Id="rId14" Type="http://schemas.openxmlformats.org/officeDocument/2006/relationships/header" Target="header9.xml"/><Relationship Id="rId13" Type="http://schemas.openxmlformats.org/officeDocument/2006/relationships/footer" Target="footer3.xml"/><Relationship Id="rId12" Type="http://schemas.openxmlformats.org/officeDocument/2006/relationships/header" Target="header8.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4678</Words>
  <Characters>4996</Characters>
  <Lines>895</Lines>
  <Paragraphs>655</Paragraphs>
  <TotalTime>3</TotalTime>
  <ScaleCrop>false</ScaleCrop>
  <LinksUpToDate>false</LinksUpToDate>
  <CharactersWithSpaces>5120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2025-06-19T07:18:00Z</dcterms:created>
  <dc:creator>微软用户</dc:creator>
  <cp:lastModifiedBy>NTKO</cp:lastModifiedBy>
  <cp:lastPrinted>2019-11-04T02:40:00Z</cp:lastPrinted>
  <dcterms:modified xsi:type="dcterms:W3CDTF">2025-10-09T07:25:00Z</dcterms:modified>
  <dc:title>桂财采〔2009〕 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ContentTypeId">
    <vt:lpwstr>0x01010002A98C0CD93A734BA2D7C8AE4AEF6111</vt:lpwstr>
  </property>
  <property fmtid="{D5CDD505-2E9C-101B-9397-08002B2CF9AE}" pid="4" name="Subject">
    <vt:lpwstr/>
  </property>
  <property fmtid="{D5CDD505-2E9C-101B-9397-08002B2CF9AE}" pid="5" name="Keywords">
    <vt:lpwstr/>
  </property>
  <property fmtid="{D5CDD505-2E9C-101B-9397-08002B2CF9AE}" pid="6" name="_Author">
    <vt:lpwstr>΢���û�</vt:lpwstr>
  </property>
  <property fmtid="{D5CDD505-2E9C-101B-9397-08002B2CF9AE}" pid="7" name="_Category">
    <vt:lpwstr/>
  </property>
  <property fmtid="{D5CDD505-2E9C-101B-9397-08002B2CF9AE}" pid="8" name="Slides">
    <vt:lpwstr>0</vt:lpwstr>
  </property>
  <property fmtid="{D5CDD505-2E9C-101B-9397-08002B2CF9AE}" pid="9" name="Categories">
    <vt:lpwstr/>
  </property>
  <property fmtid="{D5CDD505-2E9C-101B-9397-08002B2CF9AE}" pid="10" name="Approval Level">
    <vt:lpwstr/>
  </property>
  <property fmtid="{D5CDD505-2E9C-101B-9397-08002B2CF9AE}" pid="11" name="_Comments">
    <vt:lpwstr/>
  </property>
  <property fmtid="{D5CDD505-2E9C-101B-9397-08002B2CF9AE}" pid="12" name="Assigned To">
    <vt:lpwstr/>
  </property>
  <property fmtid="{D5CDD505-2E9C-101B-9397-08002B2CF9AE}" pid="13" name="ICV">
    <vt:lpwstr>B61F7DF01AE54EBBAB2A72DD7E087E90_13</vt:lpwstr>
  </property>
  <property fmtid="{D5CDD505-2E9C-101B-9397-08002B2CF9AE}" pid="14" name="KSOTemplateDocerSaveRecord">
    <vt:lpwstr>eyJoZGlkIjoiOWM1YmE2MTFlOWNmOGVhOTIxMzQyMDkwNzBjMmU2OTAiLCJ1c2VySWQiOiIyNTQ5NTQwMjUifQ==</vt:lpwstr>
  </property>
</Properties>
</file>