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B1C3A8">
      <w:pPr>
        <w:rPr>
          <w:rFonts w:hint="eastAsia" w:hAnsi="宋体"/>
          <w:color w:val="000000"/>
        </w:rPr>
      </w:pPr>
      <w:r>
        <w:rPr>
          <w:rFonts w:hint="eastAsia" w:hAnsi="宋体"/>
          <w:color w:val="000000"/>
        </w:rPr>
        <w:t>互联网出口负载均衡系统</w:t>
      </w:r>
    </w:p>
    <w:p w14:paraId="4D2BDCA4">
      <w:pPr>
        <w:rPr>
          <w:rFonts w:hint="eastAsia" w:hAnsi="宋体"/>
          <w:color w:val="000000"/>
        </w:rPr>
      </w:pPr>
    </w:p>
    <w:p w14:paraId="62DE5B65">
      <w:pPr>
        <w:pStyle w:val="2"/>
        <w:spacing w:line="360" w:lineRule="auto"/>
        <w:rPr>
          <w:rFonts w:ascii="黑体" w:hAnsi="黑体" w:eastAsia="黑体" w:cs="Times New Roman"/>
          <w:b/>
          <w:color w:val="000000"/>
          <w:sz w:val="22"/>
          <w:szCs w:val="22"/>
        </w:rPr>
      </w:pPr>
      <w:r>
        <w:rPr>
          <w:rFonts w:hint="eastAsia" w:ascii="黑体" w:hAnsi="黑体" w:eastAsia="黑体" w:cs="Times New Roman"/>
          <w:b/>
          <w:color w:val="000000"/>
          <w:sz w:val="22"/>
          <w:szCs w:val="22"/>
        </w:rPr>
        <w:t>一、整体要求</w:t>
      </w:r>
    </w:p>
    <w:p w14:paraId="1564BD22">
      <w:pPr>
        <w:pStyle w:val="2"/>
        <w:spacing w:line="360" w:lineRule="auto"/>
        <w:ind w:firstLine="420" w:firstLineChars="200"/>
        <w:rPr>
          <w:rFonts w:hint="eastAsia" w:hAnsi="宋体" w:eastAsia="宋体" w:cs="Times New Roman"/>
          <w:color w:val="000000"/>
        </w:rPr>
      </w:pPr>
      <w:r>
        <w:rPr>
          <w:rFonts w:hint="eastAsia" w:hAnsi="宋体" w:eastAsia="宋体" w:cs="Times New Roman"/>
          <w:color w:val="000000"/>
        </w:rPr>
        <w:t>因医院业务扩增，信息化系统逐渐增多，需要建设网络负载均衡以此承载更多的信息化系统的业务。采购建设基于国产信创环境的网络负载均衡，采用双物理机保障，搭建故障转移集群软件，实现对业务和链路的进一步保护。</w:t>
      </w:r>
    </w:p>
    <w:p w14:paraId="0462EF1B">
      <w:pPr>
        <w:pStyle w:val="2"/>
        <w:spacing w:line="360" w:lineRule="auto"/>
        <w:rPr>
          <w:rFonts w:hint="eastAsia" w:hAnsi="宋体" w:eastAsia="宋体" w:cs="Times New Roman"/>
          <w:color w:val="000000"/>
        </w:rPr>
      </w:pPr>
    </w:p>
    <w:p w14:paraId="30F78E36">
      <w:pPr>
        <w:pStyle w:val="2"/>
        <w:spacing w:line="360" w:lineRule="auto"/>
        <w:rPr>
          <w:rFonts w:ascii="黑体" w:hAnsi="黑体" w:eastAsia="黑体" w:cs="Times New Roman"/>
          <w:b/>
          <w:color w:val="000000"/>
          <w:sz w:val="22"/>
          <w:szCs w:val="22"/>
        </w:rPr>
      </w:pPr>
      <w:r>
        <w:rPr>
          <w:rFonts w:hint="eastAsia" w:ascii="黑体" w:hAnsi="黑体" w:eastAsia="黑体" w:cs="Times New Roman"/>
          <w:b/>
          <w:color w:val="000000"/>
          <w:sz w:val="22"/>
          <w:szCs w:val="22"/>
        </w:rPr>
        <w:t>二、建设内容</w:t>
      </w:r>
    </w:p>
    <w:p w14:paraId="683ABD24">
      <w:pPr>
        <w:pStyle w:val="2"/>
        <w:spacing w:line="360" w:lineRule="auto"/>
        <w:rPr>
          <w:rFonts w:hint="eastAsia" w:hAnsi="宋体" w:eastAsia="宋体" w:cs="Times New Roman"/>
          <w:b/>
          <w:bCs/>
          <w:color w:val="000000"/>
        </w:rPr>
      </w:pPr>
      <w:r>
        <w:rPr>
          <w:rFonts w:hint="eastAsia" w:hAnsi="宋体" w:eastAsia="宋体" w:cs="Times New Roman"/>
          <w:b/>
          <w:bCs/>
          <w:color w:val="000000"/>
        </w:rPr>
        <w:t>（一）信创服务器 2台</w:t>
      </w:r>
    </w:p>
    <w:p w14:paraId="03A19A62">
      <w:pPr>
        <w:pStyle w:val="2"/>
        <w:spacing w:line="360" w:lineRule="auto"/>
        <w:rPr>
          <w:rFonts w:hint="eastAsia" w:hAnsi="宋体" w:eastAsia="宋体" w:cs="Times New Roman"/>
          <w:color w:val="000000"/>
        </w:rPr>
      </w:pPr>
      <w:r>
        <w:rPr>
          <w:rFonts w:hint="eastAsia" w:hAnsi="宋体" w:eastAsia="宋体" w:cs="Times New Roman"/>
          <w:color w:val="000000"/>
        </w:rPr>
        <w:t>1.</w:t>
      </w:r>
      <w:r>
        <w:rPr>
          <w:rFonts w:hint="eastAsia" w:hAnsi="宋体" w:eastAsia="宋体" w:cs="Times New Roman"/>
          <w:color w:val="000000"/>
        </w:rPr>
        <w:tab/>
      </w:r>
      <w:r>
        <w:rPr>
          <w:rFonts w:hint="eastAsia" w:hAnsi="宋体" w:eastAsia="宋体" w:cs="Times New Roman"/>
          <w:color w:val="000000"/>
        </w:rPr>
        <w:t>2U机架式国产自主可控服务器，配置导轨，数量2台。</w:t>
      </w:r>
    </w:p>
    <w:p w14:paraId="2FF91DD8">
      <w:pPr>
        <w:pStyle w:val="2"/>
        <w:spacing w:line="360" w:lineRule="auto"/>
        <w:rPr>
          <w:rFonts w:hint="eastAsia" w:hAnsi="宋体" w:eastAsia="宋体" w:cs="Times New Roman"/>
          <w:color w:val="000000"/>
        </w:rPr>
      </w:pPr>
      <w:r>
        <w:rPr>
          <w:rFonts w:hint="eastAsia" w:hAnsi="宋体" w:eastAsia="宋体" w:cs="Times New Roman"/>
          <w:color w:val="000000"/>
        </w:rPr>
        <w:t>2.</w:t>
      </w:r>
      <w:r>
        <w:rPr>
          <w:rFonts w:hint="eastAsia" w:hAnsi="宋体" w:eastAsia="宋体" w:cs="Times New Roman"/>
          <w:color w:val="000000"/>
        </w:rPr>
        <w:tab/>
      </w:r>
      <w:r>
        <w:rPr>
          <w:rFonts w:hint="eastAsia" w:hAnsi="宋体" w:eastAsia="宋体" w:cs="Times New Roman"/>
          <w:color w:val="000000"/>
        </w:rPr>
        <w:t>▲配置≥2 颗物理 CPU，兼容ARMV8.2指令集，主频≥2.6GHz，每颗 CPU 内核数≥32核。</w:t>
      </w:r>
    </w:p>
    <w:p w14:paraId="5505DCDF">
      <w:pPr>
        <w:pStyle w:val="2"/>
        <w:spacing w:line="360" w:lineRule="auto"/>
        <w:rPr>
          <w:rFonts w:hint="eastAsia" w:hAnsi="宋体" w:eastAsia="宋体" w:cs="Times New Roman"/>
          <w:color w:val="000000"/>
        </w:rPr>
      </w:pPr>
      <w:r>
        <w:rPr>
          <w:rFonts w:hint="eastAsia" w:hAnsi="宋体" w:eastAsia="宋体" w:cs="Times New Roman"/>
          <w:color w:val="000000"/>
        </w:rPr>
        <w:t>3.</w:t>
      </w:r>
      <w:r>
        <w:rPr>
          <w:rFonts w:hint="eastAsia" w:hAnsi="宋体" w:eastAsia="宋体" w:cs="Times New Roman"/>
          <w:color w:val="000000"/>
        </w:rPr>
        <w:tab/>
      </w:r>
      <w:r>
        <w:rPr>
          <w:rFonts w:hint="eastAsia" w:hAnsi="宋体" w:eastAsia="宋体" w:cs="Times New Roman"/>
          <w:color w:val="000000"/>
        </w:rPr>
        <w:t>配置≥128GB 2933MHz DDR4 ECC内存；最大内存插槽总数≥16个，支持内存纠错等高级功能。</w:t>
      </w:r>
    </w:p>
    <w:p w14:paraId="08E8348C">
      <w:pPr>
        <w:pStyle w:val="2"/>
        <w:spacing w:line="360" w:lineRule="auto"/>
        <w:rPr>
          <w:rFonts w:hint="eastAsia" w:hAnsi="宋体" w:eastAsia="宋体" w:cs="Times New Roman"/>
          <w:color w:val="000000"/>
        </w:rPr>
      </w:pPr>
      <w:r>
        <w:rPr>
          <w:rFonts w:hint="eastAsia" w:hAnsi="宋体" w:eastAsia="宋体" w:cs="Times New Roman"/>
          <w:color w:val="000000"/>
        </w:rPr>
        <w:t>4.</w:t>
      </w:r>
      <w:r>
        <w:rPr>
          <w:rFonts w:hint="eastAsia" w:hAnsi="宋体" w:eastAsia="宋体" w:cs="Times New Roman"/>
          <w:color w:val="000000"/>
        </w:rPr>
        <w:tab/>
      </w:r>
      <w:r>
        <w:rPr>
          <w:rFonts w:hint="eastAsia" w:hAnsi="宋体" w:eastAsia="宋体" w:cs="Times New Roman"/>
          <w:color w:val="000000"/>
        </w:rPr>
        <w:t>配置≥2块480GB SATA SSD，支持RAID 0/1/10等，可配置≥1GB Cache，支持电容掉电保护，支持在线更换硬盘、在线扩容。</w:t>
      </w:r>
    </w:p>
    <w:p w14:paraId="37F778C3">
      <w:pPr>
        <w:pStyle w:val="2"/>
        <w:spacing w:line="360" w:lineRule="auto"/>
        <w:rPr>
          <w:rFonts w:hint="eastAsia" w:hAnsi="宋体" w:eastAsia="宋体" w:cs="Times New Roman"/>
          <w:color w:val="000000"/>
        </w:rPr>
      </w:pPr>
      <w:r>
        <w:rPr>
          <w:rFonts w:hint="eastAsia" w:hAnsi="宋体" w:eastAsia="宋体" w:cs="Times New Roman"/>
          <w:color w:val="000000"/>
        </w:rPr>
        <w:t>5.</w:t>
      </w:r>
      <w:r>
        <w:rPr>
          <w:rFonts w:hint="eastAsia" w:hAnsi="宋体" w:eastAsia="宋体" w:cs="Times New Roman"/>
          <w:color w:val="000000"/>
        </w:rPr>
        <w:tab/>
      </w:r>
      <w:r>
        <w:rPr>
          <w:rFonts w:hint="eastAsia" w:hAnsi="宋体" w:eastAsia="宋体" w:cs="Times New Roman"/>
          <w:color w:val="000000"/>
        </w:rPr>
        <w:t>▲配置≥1块双口千兆电口网卡，≥1块双口万兆光口网卡（满配多模模块）,配置1张FC-SAN双接口16G存储卡。支持≥2个灵活IO网络插卡，支持热插拔；板载1个千兆管理专用以太网口。最大支持8个PCIe 4.0 标准插槽（不含OCP插槽和存储设备专用插槽）。</w:t>
      </w:r>
    </w:p>
    <w:p w14:paraId="260D27E7">
      <w:pPr>
        <w:pStyle w:val="2"/>
        <w:spacing w:line="360" w:lineRule="auto"/>
        <w:rPr>
          <w:rFonts w:hint="eastAsia" w:hAnsi="宋体" w:eastAsia="宋体" w:cs="Times New Roman"/>
          <w:color w:val="000000"/>
        </w:rPr>
      </w:pPr>
      <w:r>
        <w:rPr>
          <w:rFonts w:hint="eastAsia" w:hAnsi="宋体" w:eastAsia="宋体" w:cs="Times New Roman"/>
          <w:color w:val="000000"/>
        </w:rPr>
        <w:t>6.</w:t>
      </w:r>
      <w:r>
        <w:rPr>
          <w:rFonts w:hint="eastAsia" w:hAnsi="宋体" w:eastAsia="宋体" w:cs="Times New Roman"/>
          <w:color w:val="000000"/>
        </w:rPr>
        <w:tab/>
      </w:r>
      <w:r>
        <w:rPr>
          <w:rFonts w:hint="eastAsia" w:hAnsi="宋体" w:eastAsia="宋体" w:cs="Times New Roman"/>
          <w:color w:val="000000"/>
        </w:rPr>
        <w:t>板载≥4个USB接口，其中USB3.0≥4个；≥2个VGA接口（前后面板各1个）。</w:t>
      </w:r>
    </w:p>
    <w:p w14:paraId="63CC576F">
      <w:pPr>
        <w:pStyle w:val="2"/>
        <w:spacing w:line="360" w:lineRule="auto"/>
        <w:rPr>
          <w:rFonts w:hint="eastAsia" w:hAnsi="宋体" w:eastAsia="宋体" w:cs="Times New Roman"/>
          <w:color w:val="000000"/>
        </w:rPr>
      </w:pPr>
      <w:r>
        <w:rPr>
          <w:rFonts w:hint="eastAsia" w:hAnsi="宋体" w:eastAsia="宋体" w:cs="Times New Roman"/>
          <w:color w:val="000000"/>
        </w:rPr>
        <w:t>7.</w:t>
      </w:r>
      <w:r>
        <w:rPr>
          <w:rFonts w:hint="eastAsia" w:hAnsi="宋体" w:eastAsia="宋体" w:cs="Times New Roman"/>
          <w:color w:val="000000"/>
        </w:rPr>
        <w:tab/>
      </w:r>
      <w:r>
        <w:rPr>
          <w:rFonts w:hint="eastAsia" w:hAnsi="宋体" w:eastAsia="宋体" w:cs="Times New Roman"/>
          <w:color w:val="000000"/>
        </w:rPr>
        <w:t>配置≥2个900W热插拔冗余电源模块，通过80 Plus认证铂金/钛金版认证；配置≥4个热插拔冗余风扇。</w:t>
      </w:r>
    </w:p>
    <w:p w14:paraId="492643CC">
      <w:pPr>
        <w:pStyle w:val="2"/>
        <w:spacing w:line="360" w:lineRule="auto"/>
        <w:rPr>
          <w:rFonts w:hint="eastAsia" w:hAnsi="宋体" w:eastAsia="宋体" w:cs="Times New Roman"/>
          <w:color w:val="000000"/>
        </w:rPr>
      </w:pPr>
      <w:r>
        <w:rPr>
          <w:rFonts w:hint="eastAsia" w:hAnsi="宋体" w:eastAsia="宋体" w:cs="Times New Roman"/>
          <w:color w:val="000000"/>
        </w:rPr>
        <w:t>8.</w:t>
      </w:r>
      <w:r>
        <w:rPr>
          <w:rFonts w:hint="eastAsia" w:hAnsi="宋体" w:eastAsia="宋体" w:cs="Times New Roman"/>
          <w:color w:val="000000"/>
        </w:rPr>
        <w:tab/>
      </w:r>
      <w:r>
        <w:rPr>
          <w:rFonts w:hint="eastAsia" w:hAnsi="宋体" w:eastAsia="宋体" w:cs="Times New Roman"/>
          <w:color w:val="000000"/>
        </w:rPr>
        <w:t>主机前面板提供故障诊断功能，具有对系统/内存/电源/风扇/温度/网络等关键部件的故障诊断报警功能；能够分别提示硬盘故障、系统运行故障、风扇及温度故障、网络故障、内存故障和电源故障。</w:t>
      </w:r>
    </w:p>
    <w:p w14:paraId="60F4307E">
      <w:pPr>
        <w:pStyle w:val="2"/>
        <w:spacing w:line="360" w:lineRule="auto"/>
        <w:rPr>
          <w:rFonts w:hint="eastAsia" w:hAnsi="宋体" w:eastAsia="宋体" w:cs="Times New Roman"/>
          <w:color w:val="000000"/>
        </w:rPr>
      </w:pPr>
      <w:r>
        <w:rPr>
          <w:rFonts w:hint="eastAsia" w:hAnsi="宋体" w:eastAsia="宋体" w:cs="Times New Roman"/>
          <w:color w:val="000000"/>
        </w:rPr>
        <w:t>9.</w:t>
      </w:r>
      <w:r>
        <w:rPr>
          <w:rFonts w:hint="eastAsia" w:hAnsi="宋体" w:eastAsia="宋体" w:cs="Times New Roman"/>
          <w:color w:val="000000"/>
        </w:rPr>
        <w:tab/>
      </w:r>
      <w:r>
        <w:rPr>
          <w:rFonts w:hint="eastAsia" w:hAnsi="宋体" w:eastAsia="宋体" w:cs="Times New Roman"/>
          <w:color w:val="000000"/>
        </w:rPr>
        <w:t>所投产品MTBF＞40万小时，中标后须提供CNAS认可第三方权威机构的报告。</w:t>
      </w:r>
    </w:p>
    <w:p w14:paraId="15B73974">
      <w:pPr>
        <w:pStyle w:val="2"/>
        <w:spacing w:line="360" w:lineRule="auto"/>
        <w:rPr>
          <w:rFonts w:hint="eastAsia" w:hAnsi="宋体" w:eastAsia="宋体" w:cs="Times New Roman"/>
          <w:color w:val="000000"/>
        </w:rPr>
      </w:pPr>
      <w:r>
        <w:rPr>
          <w:rFonts w:hint="eastAsia" w:hAnsi="宋体" w:eastAsia="宋体" w:cs="Times New Roman"/>
          <w:color w:val="000000"/>
        </w:rPr>
        <w:t>10.</w:t>
      </w:r>
      <w:r>
        <w:rPr>
          <w:rFonts w:hint="eastAsia" w:hAnsi="宋体" w:eastAsia="宋体" w:cs="Times New Roman"/>
          <w:color w:val="000000"/>
        </w:rPr>
        <w:tab/>
      </w:r>
      <w:r>
        <w:rPr>
          <w:rFonts w:hint="eastAsia" w:hAnsi="宋体" w:eastAsia="宋体" w:cs="Times New Roman"/>
          <w:color w:val="000000"/>
        </w:rPr>
        <w:t>1投标产品通过静电防护标准认证。</w:t>
      </w:r>
    </w:p>
    <w:p w14:paraId="4B611AF3">
      <w:pPr>
        <w:pStyle w:val="2"/>
        <w:spacing w:line="360" w:lineRule="auto"/>
        <w:rPr>
          <w:rFonts w:hAnsi="宋体" w:eastAsia="宋体" w:cs="Times New Roman"/>
          <w:color w:val="000000"/>
        </w:rPr>
      </w:pPr>
      <w:r>
        <w:rPr>
          <w:rFonts w:hint="eastAsia" w:hAnsi="宋体" w:eastAsia="宋体" w:cs="Times New Roman"/>
          <w:color w:val="000000"/>
        </w:rPr>
        <w:t>11.</w:t>
      </w:r>
      <w:r>
        <w:rPr>
          <w:rFonts w:hint="eastAsia" w:hAnsi="宋体" w:eastAsia="宋体" w:cs="Times New Roman"/>
          <w:color w:val="000000"/>
        </w:rPr>
        <w:tab/>
      </w:r>
      <w:r>
        <w:rPr>
          <w:rFonts w:hint="eastAsia" w:hAnsi="宋体" w:eastAsia="宋体" w:cs="Times New Roman"/>
          <w:color w:val="000000"/>
        </w:rPr>
        <w:t>3年原厂整机质保，3年原厂免费上门服务。</w:t>
      </w:r>
      <w:r>
        <w:rPr>
          <w:rFonts w:hint="eastAsia" w:hAnsi="宋体" w:eastAsia="宋体" w:cs="Times New Roman"/>
          <w:color w:val="000000"/>
        </w:rPr>
        <w:tab/>
      </w:r>
    </w:p>
    <w:p w14:paraId="024842A9">
      <w:pPr>
        <w:pStyle w:val="2"/>
        <w:spacing w:line="360" w:lineRule="auto"/>
        <w:rPr>
          <w:rFonts w:hint="eastAsia" w:hAnsi="宋体" w:eastAsia="宋体" w:cs="Times New Roman"/>
          <w:b/>
          <w:bCs/>
          <w:color w:val="000000"/>
        </w:rPr>
      </w:pPr>
      <w:r>
        <w:rPr>
          <w:rFonts w:hint="eastAsia" w:hAnsi="宋体" w:eastAsia="宋体" w:cs="Times New Roman"/>
          <w:b/>
          <w:bCs/>
          <w:color w:val="000000"/>
        </w:rPr>
        <w:t>（二）信创计算和负载软件</w:t>
      </w:r>
    </w:p>
    <w:p w14:paraId="072898FE">
      <w:pPr>
        <w:pStyle w:val="2"/>
        <w:spacing w:line="360" w:lineRule="auto"/>
        <w:rPr>
          <w:rFonts w:hint="eastAsia" w:hAnsi="宋体" w:eastAsia="宋体" w:cs="Times New Roman"/>
          <w:color w:val="000000"/>
        </w:rPr>
      </w:pPr>
      <w:r>
        <w:rPr>
          <w:rFonts w:hint="eastAsia" w:hAnsi="宋体" w:eastAsia="宋体" w:cs="Times New Roman"/>
          <w:color w:val="000000"/>
        </w:rPr>
        <w:t>1.</w:t>
      </w:r>
      <w:r>
        <w:rPr>
          <w:rFonts w:hint="eastAsia" w:hAnsi="宋体" w:eastAsia="宋体" w:cs="Times New Roman"/>
          <w:color w:val="000000"/>
        </w:rPr>
        <w:tab/>
      </w:r>
      <w:r>
        <w:rPr>
          <w:rFonts w:hint="eastAsia" w:hAnsi="宋体" w:eastAsia="宋体" w:cs="Times New Roman"/>
          <w:color w:val="000000"/>
        </w:rPr>
        <w:t>▲配置云平台系统软件授权，所提供的软件平台为非OEM产品， 本次提供4路 CPU搭建需求，适配国产芯片（海光、鲲鹏、飞腾、申威、兆芯、龙芯），产品交付时提供相应的适配证书复印件，数量4套。</w:t>
      </w:r>
    </w:p>
    <w:p w14:paraId="1CDCB2B2">
      <w:pPr>
        <w:pStyle w:val="2"/>
        <w:spacing w:line="360" w:lineRule="auto"/>
        <w:rPr>
          <w:rFonts w:hint="eastAsia" w:hAnsi="宋体" w:eastAsia="宋体" w:cs="Times New Roman"/>
          <w:color w:val="000000"/>
        </w:rPr>
      </w:pPr>
      <w:r>
        <w:rPr>
          <w:rFonts w:hint="eastAsia" w:hAnsi="宋体" w:eastAsia="宋体" w:cs="Times New Roman"/>
          <w:color w:val="000000"/>
        </w:rPr>
        <w:t>2.</w:t>
      </w:r>
      <w:r>
        <w:rPr>
          <w:rFonts w:hint="eastAsia" w:hAnsi="宋体" w:eastAsia="宋体" w:cs="Times New Roman"/>
          <w:color w:val="000000"/>
        </w:rPr>
        <w:tab/>
      </w:r>
      <w:r>
        <w:rPr>
          <w:rFonts w:hint="eastAsia" w:hAnsi="宋体" w:eastAsia="宋体" w:cs="Times New Roman"/>
          <w:color w:val="000000"/>
        </w:rPr>
        <w:t>为了保障虚拟化平台高可用，管理节点在只剩单节点工作的极端情况下，也可以保障云平台的全部功能正常访问及使用。</w:t>
      </w:r>
    </w:p>
    <w:p w14:paraId="19BC2FCF">
      <w:pPr>
        <w:pStyle w:val="2"/>
        <w:spacing w:line="360" w:lineRule="auto"/>
        <w:rPr>
          <w:rFonts w:hint="eastAsia" w:hAnsi="宋体" w:eastAsia="宋体" w:cs="Times New Roman"/>
          <w:color w:val="000000"/>
        </w:rPr>
      </w:pPr>
      <w:r>
        <w:rPr>
          <w:rFonts w:hint="eastAsia" w:hAnsi="宋体" w:eastAsia="宋体" w:cs="Times New Roman"/>
          <w:color w:val="000000"/>
        </w:rPr>
        <w:t>3.</w:t>
      </w:r>
      <w:r>
        <w:rPr>
          <w:rFonts w:hint="eastAsia" w:hAnsi="宋体" w:eastAsia="宋体" w:cs="Times New Roman"/>
          <w:color w:val="000000"/>
        </w:rPr>
        <w:tab/>
      </w:r>
      <w:r>
        <w:rPr>
          <w:rFonts w:hint="eastAsia" w:hAnsi="宋体" w:eastAsia="宋体" w:cs="Times New Roman"/>
          <w:color w:val="000000"/>
        </w:rPr>
        <w:t>虚拟化平台须采用管控面和数据面分离设计方式，所有管理节点都宕机的情况下不影响云主机业务的正常服务。</w:t>
      </w:r>
    </w:p>
    <w:p w14:paraId="1C0ED3CF">
      <w:pPr>
        <w:pStyle w:val="2"/>
        <w:spacing w:line="360" w:lineRule="auto"/>
        <w:rPr>
          <w:rFonts w:hint="eastAsia" w:hAnsi="宋体" w:eastAsia="宋体" w:cs="Times New Roman"/>
          <w:color w:val="000000"/>
        </w:rPr>
      </w:pPr>
      <w:r>
        <w:rPr>
          <w:rFonts w:hint="eastAsia" w:hAnsi="宋体" w:eastAsia="宋体" w:cs="Times New Roman"/>
          <w:color w:val="000000"/>
        </w:rPr>
        <w:t>4.</w:t>
      </w:r>
      <w:r>
        <w:rPr>
          <w:rFonts w:hint="eastAsia" w:hAnsi="宋体" w:eastAsia="宋体" w:cs="Times New Roman"/>
          <w:color w:val="000000"/>
        </w:rPr>
        <w:tab/>
      </w:r>
      <w:r>
        <w:rPr>
          <w:rFonts w:hint="eastAsia" w:hAnsi="宋体" w:eastAsia="宋体" w:cs="Times New Roman"/>
          <w:color w:val="000000"/>
        </w:rPr>
        <w:t>统一运维要求：针对云整体软硬件故障问题，提供统一的可视的监控管理中心，可视化实时监控中心从硬件可靠性（包括CPU、内存、磁盘、物理网卡和Raid卡）、系统可靠性（包括集群主机、分布式存储、集群网络配置状态和集群资源过载状态）、服务可靠性（包括站点容灾、集群可靠性HA、应用HA、计算资源DRS、虚拟机运行状态和虚拟机备份）三大层面进行实时监控、分层展示，可以快速诊断集群的健康状态，同时支持对无需关注的检测异常启用屏蔽功能，启用屏蔽功能的检测异常将不会上报显示，现实可视、可控、可管，简化运维。</w:t>
      </w:r>
    </w:p>
    <w:p w14:paraId="1729C571">
      <w:pPr>
        <w:pStyle w:val="2"/>
        <w:spacing w:line="360" w:lineRule="auto"/>
        <w:rPr>
          <w:rFonts w:hint="eastAsia" w:hAnsi="宋体" w:eastAsia="宋体" w:cs="Times New Roman"/>
          <w:color w:val="000000"/>
        </w:rPr>
      </w:pPr>
      <w:r>
        <w:rPr>
          <w:rFonts w:hint="eastAsia" w:hAnsi="宋体" w:eastAsia="宋体" w:cs="Times New Roman"/>
          <w:color w:val="000000"/>
        </w:rPr>
        <w:t>5. 为了保障业务连续性，需要支持虚拟机 HA 功能，可以在不停机的状态下， 手工或自动地实现 VM 在集群之内的不同物理机之间迁移，保障业务连续性；同时，也支持在虚拟机不停机情况下， 热迁移虚拟机硬盘到相同存储类型的存储以及不同存储类型存储上， 如虚拟机硬盘原来存储在分布式存储上，支持热迁移到另外一个分布式存储上， 也支持将虚拟机硬盘在分布式存储热迁移到 SAN 存储上（提供产品功能截图并加盖投标人公章）。</w:t>
      </w:r>
    </w:p>
    <w:p w14:paraId="61F888C8">
      <w:pPr>
        <w:pStyle w:val="2"/>
        <w:spacing w:line="360" w:lineRule="auto"/>
        <w:rPr>
          <w:rFonts w:hint="eastAsia" w:hAnsi="宋体" w:eastAsia="宋体" w:cs="Times New Roman"/>
          <w:color w:val="000000"/>
        </w:rPr>
      </w:pPr>
      <w:r>
        <w:rPr>
          <w:rFonts w:hint="eastAsia" w:hAnsi="宋体" w:eastAsia="宋体" w:cs="Times New Roman"/>
          <w:color w:val="000000"/>
        </w:rPr>
        <w:t>6.</w:t>
      </w:r>
      <w:r>
        <w:rPr>
          <w:rFonts w:hint="eastAsia" w:hAnsi="宋体" w:eastAsia="宋体" w:cs="Times New Roman"/>
          <w:color w:val="000000"/>
        </w:rPr>
        <w:tab/>
      </w:r>
      <w:r>
        <w:rPr>
          <w:rFonts w:hint="eastAsia" w:hAnsi="宋体" w:eastAsia="宋体" w:cs="Times New Roman"/>
          <w:color w:val="000000"/>
        </w:rPr>
        <w:t>支持集群动态资源调度功能，可基于主机的CPU利用率、内存利用率等资源对虚拟机进行动态资源调度，实现自动化的存储资源分配和负载均衡功能，主动确保云环境的服务水平。</w:t>
      </w:r>
    </w:p>
    <w:p w14:paraId="6E9D3BFF">
      <w:pPr>
        <w:pStyle w:val="2"/>
        <w:spacing w:line="360" w:lineRule="auto"/>
        <w:rPr>
          <w:rFonts w:hint="eastAsia" w:hAnsi="宋体" w:eastAsia="宋体" w:cs="Times New Roman"/>
          <w:color w:val="000000"/>
        </w:rPr>
      </w:pPr>
      <w:r>
        <w:rPr>
          <w:rFonts w:hint="eastAsia" w:hAnsi="宋体" w:eastAsia="宋体" w:cs="Times New Roman"/>
          <w:color w:val="000000"/>
        </w:rPr>
        <w:t>7.</w:t>
      </w:r>
      <w:r>
        <w:rPr>
          <w:rFonts w:hint="eastAsia" w:hAnsi="宋体" w:eastAsia="宋体" w:cs="Times New Roman"/>
          <w:color w:val="000000"/>
        </w:rPr>
        <w:tab/>
      </w:r>
      <w:r>
        <w:rPr>
          <w:rFonts w:hint="eastAsia" w:hAnsi="宋体" w:eastAsia="宋体" w:cs="Times New Roman"/>
          <w:color w:val="000000"/>
        </w:rPr>
        <w:t>资源扩容可以依据资源的使用情况，按需选择扩容计算存储型融合节点、计算虚拟化型节点即无需配置数据盘及相应存储虚拟化功能授权、存储虚拟化型节点即无需配置计算虚拟化相应功能授权，满足后期按业务对资源的需求进行灵活扩容，并节省采购成本。</w:t>
      </w:r>
    </w:p>
    <w:p w14:paraId="7118349F">
      <w:pPr>
        <w:pStyle w:val="2"/>
        <w:spacing w:line="360" w:lineRule="auto"/>
        <w:rPr>
          <w:rFonts w:hint="eastAsia" w:hAnsi="宋体" w:eastAsia="宋体" w:cs="Times New Roman"/>
          <w:color w:val="000000"/>
        </w:rPr>
      </w:pPr>
      <w:r>
        <w:rPr>
          <w:rFonts w:hint="eastAsia" w:hAnsi="宋体" w:eastAsia="宋体" w:cs="Times New Roman"/>
          <w:color w:val="000000"/>
        </w:rPr>
        <w:t>8.</w:t>
      </w:r>
      <w:r>
        <w:rPr>
          <w:rFonts w:hint="eastAsia" w:hAnsi="宋体" w:eastAsia="宋体" w:cs="Times New Roman"/>
          <w:color w:val="000000"/>
        </w:rPr>
        <w:tab/>
      </w:r>
      <w:r>
        <w:rPr>
          <w:rFonts w:hint="eastAsia" w:hAnsi="宋体" w:eastAsia="宋体" w:cs="Times New Roman"/>
          <w:color w:val="000000"/>
        </w:rPr>
        <w:t>提供回收站功能，当云资源被删除后，将移入回收站，提供恢复和确认销毁。用户可自定义回收站资源彻底删除时延。</w:t>
      </w:r>
    </w:p>
    <w:p w14:paraId="30827EBF">
      <w:pPr>
        <w:pStyle w:val="2"/>
        <w:spacing w:line="360" w:lineRule="auto"/>
        <w:rPr>
          <w:rFonts w:hint="eastAsia" w:hAnsi="宋体" w:eastAsia="宋体" w:cs="Times New Roman"/>
          <w:color w:val="000000"/>
        </w:rPr>
      </w:pPr>
      <w:r>
        <w:rPr>
          <w:rFonts w:hint="eastAsia" w:hAnsi="宋体" w:eastAsia="宋体" w:cs="Times New Roman"/>
          <w:color w:val="000000"/>
        </w:rPr>
        <w:t>9.</w:t>
      </w:r>
      <w:r>
        <w:rPr>
          <w:rFonts w:hint="eastAsia" w:hAnsi="宋体" w:eastAsia="宋体" w:cs="Times New Roman"/>
          <w:color w:val="000000"/>
        </w:rPr>
        <w:tab/>
      </w:r>
      <w:r>
        <w:rPr>
          <w:rFonts w:hint="eastAsia" w:hAnsi="宋体" w:eastAsia="宋体" w:cs="Times New Roman"/>
          <w:color w:val="000000"/>
        </w:rPr>
        <w:t>需支持动态资源调度（DRS），能够以集群为单位监控物理机CPU 或内存负载情况，支持自动和手动迁移云主机。</w:t>
      </w:r>
    </w:p>
    <w:p w14:paraId="745CDA59">
      <w:pPr>
        <w:pStyle w:val="2"/>
        <w:spacing w:line="360" w:lineRule="auto"/>
        <w:rPr>
          <w:rFonts w:hint="eastAsia" w:hAnsi="宋体" w:eastAsia="宋体" w:cs="Times New Roman"/>
          <w:color w:val="000000"/>
        </w:rPr>
      </w:pPr>
      <w:r>
        <w:rPr>
          <w:rFonts w:hint="eastAsia" w:hAnsi="宋体" w:eastAsia="宋体" w:cs="Times New Roman"/>
          <w:color w:val="000000"/>
        </w:rPr>
        <w:t>10.</w:t>
      </w:r>
      <w:r>
        <w:rPr>
          <w:rFonts w:hint="eastAsia" w:hAnsi="宋体" w:eastAsia="宋体" w:cs="Times New Roman"/>
          <w:color w:val="000000"/>
        </w:rPr>
        <w:tab/>
      </w:r>
      <w:r>
        <w:rPr>
          <w:rFonts w:hint="eastAsia" w:hAnsi="宋体" w:eastAsia="宋体" w:cs="Times New Roman"/>
          <w:color w:val="000000"/>
        </w:rPr>
        <w:t>支持对资源扩展和收缩策略的灵活配置，能够根据虚拟机CPU、内存等参数动态的克隆虚拟机或删除虚拟机以满足业务量大时使用多个虚拟机提供服务、业务量少时使用少量虚拟机提供服务”的业务需求，整个过程不需要人工干预，同时支持对业务虚拟机组的统一负载监控和负载状态展示。</w:t>
      </w:r>
    </w:p>
    <w:p w14:paraId="59ECB6A0">
      <w:pPr>
        <w:pStyle w:val="2"/>
        <w:spacing w:line="360" w:lineRule="auto"/>
        <w:rPr>
          <w:rFonts w:hint="eastAsia" w:hAnsi="宋体" w:eastAsia="宋体" w:cs="Times New Roman"/>
          <w:color w:val="000000"/>
        </w:rPr>
      </w:pPr>
      <w:r>
        <w:rPr>
          <w:rFonts w:hint="eastAsia" w:hAnsi="宋体" w:eastAsia="宋体" w:cs="Times New Roman"/>
          <w:color w:val="000000"/>
        </w:rPr>
        <w:t>11.</w:t>
      </w:r>
      <w:r>
        <w:rPr>
          <w:rFonts w:hint="eastAsia" w:hAnsi="宋体" w:eastAsia="宋体" w:cs="Times New Roman"/>
          <w:color w:val="000000"/>
        </w:rPr>
        <w:tab/>
      </w:r>
      <w:r>
        <w:rPr>
          <w:rFonts w:hint="eastAsia" w:hAnsi="宋体" w:eastAsia="宋体" w:cs="Times New Roman"/>
          <w:color w:val="000000"/>
        </w:rPr>
        <w:t>考虑个别业务需要插 Ukey 的场景，虚拟化平台需要支持将USB 设备映射到虚拟机中，并支持该已挂载 USB 设备的云主机在线迁移到其他计算节点上，并且不影响使用，保障业务高可用性的同时也保证物理 Ukey 等设备正常使用。</w:t>
      </w:r>
    </w:p>
    <w:p w14:paraId="4A450D86">
      <w:pPr>
        <w:pStyle w:val="2"/>
        <w:spacing w:line="360" w:lineRule="auto"/>
        <w:rPr>
          <w:rFonts w:hint="eastAsia" w:hAnsi="宋体" w:eastAsia="宋体" w:cs="Times New Roman"/>
          <w:color w:val="000000"/>
        </w:rPr>
      </w:pPr>
      <w:r>
        <w:rPr>
          <w:rFonts w:hint="eastAsia" w:hAnsi="宋体" w:eastAsia="宋体" w:cs="Times New Roman"/>
          <w:color w:val="000000"/>
        </w:rPr>
        <w:t>12.</w:t>
      </w:r>
      <w:r>
        <w:rPr>
          <w:rFonts w:hint="eastAsia" w:hAnsi="宋体" w:eastAsia="宋体" w:cs="Times New Roman"/>
          <w:color w:val="000000"/>
        </w:rPr>
        <w:tab/>
      </w:r>
      <w:r>
        <w:rPr>
          <w:rFonts w:hint="eastAsia" w:hAnsi="宋体" w:eastAsia="宋体" w:cs="Times New Roman"/>
          <w:color w:val="000000"/>
        </w:rPr>
        <w:t>虚拟机需要支持 vNUMA 功能，并且开启 vNUMA 功能的虚拟机支持热迁移，在运行状态下，可以发起“ 更改物理机”和“更改该物理机和主存储操作”。</w:t>
      </w:r>
    </w:p>
    <w:p w14:paraId="79EBB62B">
      <w:pPr>
        <w:pStyle w:val="2"/>
        <w:spacing w:line="360" w:lineRule="auto"/>
        <w:rPr>
          <w:rFonts w:hint="eastAsia" w:hAnsi="宋体" w:eastAsia="宋体" w:cs="Times New Roman"/>
          <w:color w:val="000000"/>
        </w:rPr>
      </w:pPr>
      <w:r>
        <w:rPr>
          <w:rFonts w:hint="eastAsia" w:hAnsi="宋体" w:eastAsia="宋体" w:cs="Times New Roman"/>
          <w:color w:val="000000"/>
        </w:rPr>
        <w:t>13.</w:t>
      </w:r>
      <w:r>
        <w:rPr>
          <w:rFonts w:hint="eastAsia" w:hAnsi="宋体" w:eastAsia="宋体" w:cs="Times New Roman"/>
          <w:color w:val="000000"/>
        </w:rPr>
        <w:tab/>
      </w:r>
      <w:r>
        <w:rPr>
          <w:rFonts w:hint="eastAsia" w:hAnsi="宋体" w:eastAsia="宋体" w:cs="Times New Roman"/>
          <w:color w:val="000000"/>
        </w:rPr>
        <w:t>考虑到会禁用部分风险端口，云平台须支持并提供SPICE、VNC、SPICE+VNC三种模式的控制台，SPICE协议可新增SSL加密通道（提供产品功能截图并加盖投标人公章）。</w:t>
      </w:r>
    </w:p>
    <w:p w14:paraId="3901BEF0">
      <w:pPr>
        <w:pStyle w:val="2"/>
        <w:spacing w:line="360" w:lineRule="auto"/>
        <w:rPr>
          <w:rFonts w:hint="eastAsia" w:hAnsi="宋体" w:eastAsia="宋体" w:cs="Times New Roman"/>
          <w:color w:val="000000"/>
        </w:rPr>
      </w:pPr>
      <w:r>
        <w:rPr>
          <w:rFonts w:hint="eastAsia" w:hAnsi="宋体" w:eastAsia="宋体" w:cs="Times New Roman"/>
          <w:color w:val="000000"/>
        </w:rPr>
        <w:t>14.</w:t>
      </w:r>
      <w:r>
        <w:rPr>
          <w:rFonts w:hint="eastAsia" w:hAnsi="宋体" w:eastAsia="宋体" w:cs="Times New Roman"/>
          <w:color w:val="000000"/>
        </w:rPr>
        <w:tab/>
      </w:r>
      <w:r>
        <w:rPr>
          <w:rFonts w:hint="eastAsia" w:hAnsi="宋体" w:eastAsia="宋体" w:cs="Times New Roman"/>
          <w:color w:val="000000"/>
        </w:rPr>
        <w:t>支持检测虚拟机故障（ Windows 蓝屏/Linux 死机）并告警，当虚拟机常见故障的时支持自动重启，并及时发出告警。</w:t>
      </w:r>
    </w:p>
    <w:p w14:paraId="2B3CD05A">
      <w:pPr>
        <w:pStyle w:val="2"/>
        <w:spacing w:line="360" w:lineRule="auto"/>
        <w:rPr>
          <w:rFonts w:hint="eastAsia" w:hAnsi="宋体" w:eastAsia="宋体" w:cs="Times New Roman"/>
          <w:color w:val="000000"/>
        </w:rPr>
      </w:pPr>
      <w:r>
        <w:rPr>
          <w:rFonts w:hint="eastAsia" w:hAnsi="宋体" w:eastAsia="宋体" w:cs="Times New Roman"/>
          <w:color w:val="000000"/>
        </w:rPr>
        <w:t>15.</w:t>
      </w:r>
      <w:r>
        <w:rPr>
          <w:rFonts w:hint="eastAsia" w:hAnsi="宋体" w:eastAsia="宋体" w:cs="Times New Roman"/>
          <w:color w:val="000000"/>
        </w:rPr>
        <w:tab/>
      </w:r>
      <w:r>
        <w:rPr>
          <w:rFonts w:hint="eastAsia" w:hAnsi="宋体" w:eastAsia="宋体" w:cs="Times New Roman"/>
          <w:color w:val="000000"/>
        </w:rPr>
        <w:t>▲为增强网络安全性、改善网络资源利用率，云平台需支持VXLAN、PVLAN，可通过VXLAN扩展数据中心网络的规模，通过PVLAN保护关键资源免受未经授权的访问，满足规模化和精细化的网络管理需求（提供产品功能截图并加盖投标人公章）。</w:t>
      </w:r>
    </w:p>
    <w:p w14:paraId="66B46DB1">
      <w:pPr>
        <w:pStyle w:val="2"/>
        <w:spacing w:line="360" w:lineRule="auto"/>
        <w:rPr>
          <w:rFonts w:hint="eastAsia" w:hAnsi="宋体" w:eastAsia="宋体" w:cs="Times New Roman"/>
          <w:color w:val="000000"/>
        </w:rPr>
      </w:pPr>
      <w:r>
        <w:rPr>
          <w:rFonts w:hint="eastAsia" w:hAnsi="宋体" w:eastAsia="宋体" w:cs="Times New Roman"/>
          <w:color w:val="000000"/>
        </w:rPr>
        <w:t>16.</w:t>
      </w:r>
      <w:r>
        <w:rPr>
          <w:rFonts w:hint="eastAsia" w:hAnsi="宋体" w:eastAsia="宋体" w:cs="Times New Roman"/>
          <w:color w:val="000000"/>
        </w:rPr>
        <w:tab/>
      </w:r>
      <w:r>
        <w:rPr>
          <w:rFonts w:hint="eastAsia" w:hAnsi="宋体" w:eastAsia="宋体" w:cs="Times New Roman"/>
          <w:color w:val="000000"/>
        </w:rPr>
        <w:t>云平台支持第三方监控运维平台通过配置SNMP参数监控采集平台内虚拟机、物理机、网卡、磁盘等资源的运行情况。可将SNMP Trap接收端加为告警对象，用户可以自行决定推送条目，当报警触发时，根据用户需求将对应的报警消息推送到对应的接收端，报警消息中包含报警资源、报警事件、报警级别等详细参数，可直接在接收端知晓问题情况。可直接在云平台UI上下载MIB库，该库中包含云厂商自有的OID，用户可根据库中内容配置第三方平台，以获取云平台上监控数据、解析云平台报警信息（提供产品功能截图并加盖投标人公章）。</w:t>
      </w:r>
    </w:p>
    <w:p w14:paraId="4E04AE2B">
      <w:pPr>
        <w:pStyle w:val="2"/>
        <w:spacing w:line="360" w:lineRule="auto"/>
        <w:rPr>
          <w:rFonts w:hint="eastAsia" w:hAnsi="宋体" w:eastAsia="宋体" w:cs="Times New Roman"/>
          <w:color w:val="000000"/>
        </w:rPr>
      </w:pPr>
      <w:r>
        <w:rPr>
          <w:rFonts w:hint="eastAsia" w:hAnsi="宋体" w:eastAsia="宋体" w:cs="Times New Roman"/>
          <w:color w:val="000000"/>
        </w:rPr>
        <w:t>17.</w:t>
      </w:r>
      <w:r>
        <w:rPr>
          <w:rFonts w:hint="eastAsia" w:hAnsi="宋体" w:eastAsia="宋体" w:cs="Times New Roman"/>
          <w:color w:val="000000"/>
        </w:rPr>
        <w:tab/>
      </w:r>
      <w:r>
        <w:rPr>
          <w:rFonts w:hint="eastAsia" w:hAnsi="宋体" w:eastAsia="宋体" w:cs="Times New Roman"/>
          <w:color w:val="000000"/>
        </w:rPr>
        <w:t>支持虚拟防火墙，提供无限制数量的虚拟防火墙，支持导入导出防火墙规则，并且支持设置防火墙的出、入方向应用规则7集；支持自定义规则优先级以及行为，根据报文源目的 IP、协议、源目的端口、TCP flag、ICMPType 进行过滤。</w:t>
      </w:r>
    </w:p>
    <w:p w14:paraId="7F9E7E31">
      <w:pPr>
        <w:pStyle w:val="2"/>
        <w:spacing w:line="360" w:lineRule="auto"/>
        <w:rPr>
          <w:rFonts w:hint="eastAsia" w:hAnsi="宋体" w:eastAsia="宋体" w:cs="Times New Roman"/>
          <w:color w:val="000000"/>
        </w:rPr>
      </w:pPr>
      <w:r>
        <w:rPr>
          <w:rFonts w:hint="eastAsia" w:hAnsi="宋体" w:eastAsia="宋体" w:cs="Times New Roman"/>
          <w:color w:val="000000"/>
        </w:rPr>
        <w:t>18.</w:t>
      </w:r>
      <w:r>
        <w:rPr>
          <w:rFonts w:hint="eastAsia" w:hAnsi="宋体" w:eastAsia="宋体" w:cs="Times New Roman"/>
          <w:color w:val="000000"/>
        </w:rPr>
        <w:tab/>
      </w:r>
      <w:r>
        <w:rPr>
          <w:rFonts w:hint="eastAsia" w:hAnsi="宋体" w:eastAsia="宋体" w:cs="Times New Roman"/>
          <w:color w:val="000000"/>
        </w:rPr>
        <w:t>▲支持 VPC 路由器高可用功能，一个 VPC 路由器高可用组内同时部署一对互为主备的VPC路由器，当主VPC路由器状态异常，秒级触发高可用切换，自动切换至备 VPC 路由器工作，保障业务持续稳定运行（提供产品功能截图并加盖投标人公章）。</w:t>
      </w:r>
    </w:p>
    <w:p w14:paraId="3B2ED222">
      <w:pPr>
        <w:pStyle w:val="2"/>
        <w:spacing w:line="360" w:lineRule="auto"/>
        <w:rPr>
          <w:rFonts w:hint="eastAsia" w:hAnsi="宋体" w:eastAsia="宋体" w:cs="Times New Roman"/>
          <w:color w:val="000000"/>
        </w:rPr>
      </w:pPr>
      <w:r>
        <w:rPr>
          <w:rFonts w:hint="eastAsia" w:hAnsi="宋体" w:eastAsia="宋体" w:cs="Times New Roman"/>
          <w:color w:val="000000"/>
        </w:rPr>
        <w:t>19.</w:t>
      </w:r>
      <w:r>
        <w:rPr>
          <w:rFonts w:hint="eastAsia" w:hAnsi="宋体" w:eastAsia="宋体" w:cs="Times New Roman"/>
          <w:color w:val="000000"/>
        </w:rPr>
        <w:tab/>
      </w:r>
      <w:r>
        <w:rPr>
          <w:rFonts w:hint="eastAsia" w:hAnsi="宋体" w:eastAsia="宋体" w:cs="Times New Roman"/>
          <w:color w:val="000000"/>
        </w:rPr>
        <w:t>支持为虚拟机配置 IPv6、IPv4 或双栈网络，根据需求选择地址类型;在平台资源充足的情况下，支持并配置不限数量的虚拟防火墙功能，可以给虚拟路由器配置防火墙，在防火墙每个接口的出、入方向应用规则集。</w:t>
      </w:r>
    </w:p>
    <w:p w14:paraId="2B33B55D">
      <w:pPr>
        <w:pStyle w:val="2"/>
        <w:spacing w:line="360" w:lineRule="auto"/>
        <w:rPr>
          <w:rFonts w:hint="eastAsia" w:hAnsi="宋体" w:eastAsia="宋体" w:cs="Times New Roman"/>
          <w:color w:val="000000"/>
        </w:rPr>
      </w:pPr>
      <w:r>
        <w:rPr>
          <w:rFonts w:hint="eastAsia" w:hAnsi="宋体" w:eastAsia="宋体" w:cs="Times New Roman"/>
          <w:color w:val="000000"/>
        </w:rPr>
        <w:t>20.</w:t>
      </w:r>
      <w:r>
        <w:rPr>
          <w:rFonts w:hint="eastAsia" w:hAnsi="宋体" w:eastAsia="宋体" w:cs="Times New Roman"/>
          <w:color w:val="000000"/>
        </w:rPr>
        <w:tab/>
      </w:r>
      <w:r>
        <w:rPr>
          <w:rFonts w:hint="eastAsia" w:hAnsi="宋体" w:eastAsia="宋体" w:cs="Times New Roman"/>
          <w:color w:val="000000"/>
        </w:rPr>
        <w:t>▲支持在任意三层网络中创建负载均衡器，通过流量分发扩展应用系统对内的服务能力；负载均衡器不限数量、吞吐速率、带宽性能；支持TCP/UDP/HTTP/HTTPS 协议、轮询/最小链接/源地址哈希/加权轮询等不同算法的负载均衡服务，负载均衡器可以将公网地址的访问流量分发到一组后端的云主机上。</w:t>
      </w:r>
    </w:p>
    <w:p w14:paraId="05E4D6DF">
      <w:pPr>
        <w:pStyle w:val="2"/>
        <w:spacing w:line="360" w:lineRule="auto"/>
        <w:rPr>
          <w:rFonts w:hint="eastAsia" w:hAnsi="宋体" w:eastAsia="宋体" w:cs="Times New Roman"/>
          <w:color w:val="000000"/>
        </w:rPr>
      </w:pPr>
      <w:r>
        <w:rPr>
          <w:rFonts w:hint="eastAsia" w:hAnsi="宋体" w:eastAsia="宋体" w:cs="Times New Roman"/>
          <w:color w:val="000000"/>
        </w:rPr>
        <w:t>21.</w:t>
      </w:r>
      <w:r>
        <w:rPr>
          <w:rFonts w:hint="eastAsia" w:hAnsi="宋体" w:eastAsia="宋体" w:cs="Times New Roman"/>
          <w:color w:val="000000"/>
        </w:rPr>
        <w:tab/>
      </w:r>
      <w:r>
        <w:rPr>
          <w:rFonts w:hint="eastAsia" w:hAnsi="宋体" w:eastAsia="宋体" w:cs="Times New Roman"/>
          <w:color w:val="000000"/>
        </w:rPr>
        <w:t>▲为保证云台架构的灵活性和扩展，平台应该支持FC-SAN、IP-SAN、本地存储、NFS、NVME-oF、Vhost分布式存储等不同存储接口（提供产品功能截图并加盖投标人公章）。</w:t>
      </w:r>
    </w:p>
    <w:p w14:paraId="7CF6F477">
      <w:pPr>
        <w:pStyle w:val="2"/>
        <w:spacing w:line="360" w:lineRule="auto"/>
        <w:rPr>
          <w:rFonts w:hint="eastAsia" w:hAnsi="宋体" w:eastAsia="宋体" w:cs="Times New Roman"/>
          <w:color w:val="000000"/>
        </w:rPr>
      </w:pPr>
      <w:r>
        <w:rPr>
          <w:rFonts w:hint="eastAsia" w:hAnsi="宋体" w:eastAsia="宋体" w:cs="Times New Roman"/>
          <w:color w:val="000000"/>
        </w:rPr>
        <w:t>22.</w:t>
      </w:r>
      <w:r>
        <w:rPr>
          <w:rFonts w:hint="eastAsia" w:hAnsi="宋体" w:eastAsia="宋体" w:cs="Times New Roman"/>
          <w:color w:val="000000"/>
        </w:rPr>
        <w:tab/>
      </w:r>
      <w:r>
        <w:rPr>
          <w:rFonts w:hint="eastAsia" w:hAnsi="宋体" w:eastAsia="宋体" w:cs="Times New Roman"/>
          <w:color w:val="000000"/>
        </w:rPr>
        <w:t>支持多种授权方式，至少支持授权文件授权、USB KEY 授权两种授权方式，方面用户按实际需求选择。</w:t>
      </w:r>
    </w:p>
    <w:p w14:paraId="44A29E15">
      <w:pPr>
        <w:pStyle w:val="2"/>
        <w:spacing w:line="360" w:lineRule="auto"/>
        <w:rPr>
          <w:rFonts w:hint="eastAsia" w:hAnsi="宋体" w:eastAsia="宋体" w:cs="Times New Roman"/>
          <w:color w:val="000000"/>
        </w:rPr>
      </w:pPr>
      <w:r>
        <w:rPr>
          <w:rFonts w:hint="eastAsia" w:hAnsi="宋体" w:eastAsia="宋体" w:cs="Times New Roman"/>
          <w:color w:val="000000"/>
        </w:rPr>
        <w:t>23.</w:t>
      </w:r>
      <w:r>
        <w:rPr>
          <w:rFonts w:hint="eastAsia" w:hAnsi="宋体" w:eastAsia="宋体" w:cs="Times New Roman"/>
          <w:color w:val="000000"/>
        </w:rPr>
        <w:tab/>
      </w:r>
      <w:r>
        <w:rPr>
          <w:rFonts w:hint="eastAsia" w:hAnsi="宋体" w:eastAsia="宋体" w:cs="Times New Roman"/>
          <w:color w:val="000000"/>
        </w:rPr>
        <w:t>▲为满足后续二次开发和集成要求，云平台原厂须提供可在线下载的全量API开发手册，JAVA和Python格式的SDK工具包；云平台须支持任意界面一键开启API调用请求实时查看功能，能够在产品页面直接显示调用的API，并可根据API请求类型进行分类查看，提高二次开发效率（提供产品功能截图并加盖投标人公章）。</w:t>
      </w:r>
    </w:p>
    <w:p w14:paraId="32F9A0A2">
      <w:pPr>
        <w:pStyle w:val="2"/>
        <w:spacing w:line="360" w:lineRule="auto"/>
        <w:rPr>
          <w:rFonts w:hint="eastAsia" w:hAnsi="宋体" w:eastAsia="宋体" w:cs="Times New Roman"/>
          <w:color w:val="000000"/>
        </w:rPr>
      </w:pPr>
      <w:r>
        <w:rPr>
          <w:rFonts w:hint="eastAsia" w:hAnsi="宋体" w:eastAsia="宋体" w:cs="Times New Roman"/>
          <w:color w:val="000000"/>
        </w:rPr>
        <w:t>24.</w:t>
      </w:r>
      <w:r>
        <w:rPr>
          <w:rFonts w:hint="eastAsia" w:hAnsi="宋体" w:eastAsia="宋体" w:cs="Times New Roman"/>
          <w:color w:val="000000"/>
        </w:rPr>
        <w:tab/>
      </w:r>
      <w:r>
        <w:rPr>
          <w:rFonts w:hint="eastAsia" w:hAnsi="宋体" w:eastAsia="宋体" w:cs="Times New Roman"/>
          <w:color w:val="000000"/>
        </w:rPr>
        <w:t>须支持监控大屏。需实时刷新云平台 CPU 和内存使用率最高的云主机、物理机；需实时刷新总体资源用量统计；需实时通过波浪图展示云平台总体CPU 和内存负载。大屏须支持展示 GPU/vGPU 的使用量，方便用户实时掌握云平台 GPU/vGPU 设备的使用情况。</w:t>
      </w:r>
    </w:p>
    <w:p w14:paraId="302C94C9">
      <w:pPr>
        <w:pStyle w:val="2"/>
        <w:spacing w:line="360" w:lineRule="auto"/>
        <w:rPr>
          <w:rFonts w:hint="eastAsia" w:hAnsi="宋体" w:eastAsia="宋体" w:cs="Times New Roman"/>
          <w:color w:val="000000"/>
        </w:rPr>
      </w:pPr>
      <w:r>
        <w:rPr>
          <w:rFonts w:hint="eastAsia" w:hAnsi="宋体" w:eastAsia="宋体" w:cs="Times New Roman"/>
          <w:color w:val="000000"/>
        </w:rPr>
        <w:t>25.</w:t>
      </w:r>
      <w:r>
        <w:rPr>
          <w:rFonts w:hint="eastAsia" w:hAnsi="宋体" w:eastAsia="宋体" w:cs="Times New Roman"/>
          <w:color w:val="000000"/>
        </w:rPr>
        <w:tab/>
      </w:r>
      <w:r>
        <w:rPr>
          <w:rFonts w:hint="eastAsia" w:hAnsi="宋体" w:eastAsia="宋体" w:cs="Times New Roman"/>
          <w:color w:val="000000"/>
        </w:rPr>
        <w:t>须支持自定义报警器内容，支持常见的虚拟资源和物理资源报警，包括但不限于 CPU、内存、网卡和磁盘等资源。支持自定义报警条件和报警间隔时间。支持报警器设置报警级别，不同级别的报警器需要发出对应级别的报警消息,支持邮件、短信、钉钉、企业微信及微软 Microsoft Teams 接收告警消息。</w:t>
      </w:r>
    </w:p>
    <w:p w14:paraId="544D7733">
      <w:pPr>
        <w:pStyle w:val="2"/>
        <w:spacing w:line="360" w:lineRule="auto"/>
        <w:rPr>
          <w:rFonts w:hint="eastAsia" w:hAnsi="宋体" w:eastAsia="宋体" w:cs="Times New Roman"/>
          <w:color w:val="000000"/>
        </w:rPr>
      </w:pPr>
      <w:r>
        <w:rPr>
          <w:rFonts w:hint="eastAsia" w:hAnsi="宋体" w:eastAsia="宋体" w:cs="Times New Roman"/>
          <w:color w:val="000000"/>
        </w:rPr>
        <w:t>26.</w:t>
      </w:r>
      <w:r>
        <w:rPr>
          <w:rFonts w:hint="eastAsia" w:hAnsi="宋体" w:eastAsia="宋体" w:cs="Times New Roman"/>
          <w:color w:val="000000"/>
        </w:rPr>
        <w:tab/>
      </w:r>
      <w:r>
        <w:rPr>
          <w:rFonts w:hint="eastAsia" w:hAnsi="宋体" w:eastAsia="宋体" w:cs="Times New Roman"/>
          <w:color w:val="000000"/>
        </w:rPr>
        <w:t>为保证操作便捷性，云平台支持任意界面打开内部搜索功能，可根据关键词搜索资源、功能入口、相关技术文档及操作实践手册等（提供产品功能截图并加盖投标人公章）。</w:t>
      </w:r>
    </w:p>
    <w:p w14:paraId="0873A6EE">
      <w:pPr>
        <w:pStyle w:val="2"/>
        <w:spacing w:line="360" w:lineRule="auto"/>
        <w:rPr>
          <w:rFonts w:hint="eastAsia" w:hAnsi="宋体" w:eastAsia="宋体" w:cs="Times New Roman"/>
          <w:color w:val="000000"/>
        </w:rPr>
      </w:pPr>
      <w:r>
        <w:rPr>
          <w:rFonts w:hint="eastAsia" w:hAnsi="宋体" w:eastAsia="宋体" w:cs="Times New Roman"/>
          <w:color w:val="000000"/>
        </w:rPr>
        <w:t>27.</w:t>
      </w:r>
      <w:r>
        <w:rPr>
          <w:rFonts w:hint="eastAsia" w:hAnsi="宋体" w:eastAsia="宋体" w:cs="Times New Roman"/>
          <w:color w:val="000000"/>
        </w:rPr>
        <w:tab/>
      </w:r>
      <w:r>
        <w:rPr>
          <w:rFonts w:hint="eastAsia" w:hAnsi="宋体" w:eastAsia="宋体" w:cs="Times New Roman"/>
          <w:color w:val="000000"/>
        </w:rPr>
        <w:t>为保证新平台与现有运维账号体系的统一对接，云平台须支持通过界面操作无缝接入第三方登录认证系统，相应第三方用户将免密登录云平台，便捷使用云资源，支持添加 OIDC 服务器（提供产品功能截图并加盖投标人公章）。</w:t>
      </w:r>
    </w:p>
    <w:p w14:paraId="37C50EDE">
      <w:pPr>
        <w:pStyle w:val="2"/>
        <w:spacing w:line="360" w:lineRule="auto"/>
        <w:rPr>
          <w:rFonts w:hAnsi="宋体" w:eastAsia="宋体" w:cs="Times New Roman"/>
          <w:color w:val="000000"/>
        </w:rPr>
      </w:pPr>
      <w:r>
        <w:rPr>
          <w:rFonts w:hint="eastAsia" w:hAnsi="宋体" w:eastAsia="宋体" w:cs="Times New Roman"/>
          <w:color w:val="000000"/>
        </w:rPr>
        <w:t>28.</w:t>
      </w:r>
      <w:r>
        <w:rPr>
          <w:rFonts w:hint="eastAsia" w:hAnsi="宋体" w:eastAsia="宋体" w:cs="Times New Roman"/>
          <w:color w:val="000000"/>
        </w:rPr>
        <w:tab/>
      </w:r>
      <w:r>
        <w:rPr>
          <w:rFonts w:hint="eastAsia" w:hAnsi="宋体" w:eastAsia="宋体" w:cs="Times New Roman"/>
          <w:color w:val="000000"/>
        </w:rPr>
        <w:t>供应商须负责将此计算组件并入医院其他同类计算环境中形成可统一资源调度的分布式计算集群，并完成对医院原有集中式存储的挂载对接。</w:t>
      </w:r>
    </w:p>
    <w:p w14:paraId="21E09CE6">
      <w:pPr>
        <w:pStyle w:val="2"/>
        <w:rPr>
          <w:rFonts w:hint="eastAsia" w:ascii="黑体" w:hAnsi="黑体" w:eastAsia="黑体" w:cs="Times New Roman"/>
          <w:b/>
          <w:color w:val="000000"/>
          <w:sz w:val="22"/>
          <w:szCs w:val="22"/>
        </w:rPr>
      </w:pPr>
      <w:r>
        <w:rPr>
          <w:rFonts w:hint="eastAsia" w:ascii="黑体" w:hAnsi="黑体" w:eastAsia="黑体" w:cs="Times New Roman"/>
          <w:b/>
          <w:color w:val="000000"/>
          <w:sz w:val="22"/>
          <w:szCs w:val="22"/>
        </w:rPr>
        <w:t>（三）SDWAN路由器 1台</w:t>
      </w:r>
    </w:p>
    <w:p w14:paraId="5D374432">
      <w:pPr>
        <w:pStyle w:val="2"/>
        <w:spacing w:line="360" w:lineRule="auto"/>
        <w:rPr>
          <w:rFonts w:hint="eastAsia" w:hAnsi="宋体" w:eastAsia="宋体" w:cs="Times New Roman"/>
          <w:color w:val="000000"/>
        </w:rPr>
      </w:pPr>
      <w:r>
        <w:rPr>
          <w:rFonts w:hint="eastAsia" w:hAnsi="宋体" w:eastAsia="宋体" w:cs="Times New Roman"/>
          <w:color w:val="000000"/>
        </w:rPr>
        <w:t>1.单台设备转发性能：转发性能≥2 Gbps，SD-WAN转发性能：≥1.85Gbps</w:t>
      </w:r>
    </w:p>
    <w:p w14:paraId="3233435B">
      <w:pPr>
        <w:pStyle w:val="2"/>
        <w:spacing w:line="360" w:lineRule="auto"/>
        <w:rPr>
          <w:rFonts w:hint="eastAsia" w:hAnsi="宋体" w:eastAsia="宋体" w:cs="Times New Roman"/>
          <w:color w:val="000000"/>
        </w:rPr>
      </w:pPr>
      <w:r>
        <w:rPr>
          <w:rFonts w:hint="eastAsia" w:hAnsi="宋体" w:eastAsia="宋体" w:cs="Times New Roman"/>
          <w:color w:val="000000"/>
        </w:rPr>
        <w:t>2.单台设备配置：万兆WAN侧光口≥1个，千兆 combo  WAN口≥2个，千兆 combo  LAN口≥1个，千兆LAN侧电口≥8个，交流电源供电；</w:t>
      </w:r>
    </w:p>
    <w:p w14:paraId="2A44D01E">
      <w:pPr>
        <w:pStyle w:val="2"/>
        <w:spacing w:line="360" w:lineRule="auto"/>
        <w:rPr>
          <w:rFonts w:hint="eastAsia" w:hAnsi="宋体" w:eastAsia="宋体" w:cs="Times New Roman"/>
          <w:color w:val="000000"/>
        </w:rPr>
      </w:pPr>
      <w:r>
        <w:rPr>
          <w:rFonts w:hint="eastAsia" w:hAnsi="宋体" w:eastAsia="宋体" w:cs="Times New Roman"/>
          <w:color w:val="000000"/>
        </w:rPr>
        <w:t>3.提供双机集群部署功能，实现设备扩容</w:t>
      </w:r>
    </w:p>
    <w:p w14:paraId="763F149B">
      <w:pPr>
        <w:pStyle w:val="2"/>
        <w:spacing w:line="360" w:lineRule="auto"/>
        <w:rPr>
          <w:rFonts w:hint="eastAsia" w:hAnsi="宋体" w:eastAsia="宋体" w:cs="Times New Roman"/>
          <w:color w:val="000000"/>
        </w:rPr>
      </w:pPr>
      <w:r>
        <w:rPr>
          <w:rFonts w:hint="eastAsia" w:hAnsi="宋体" w:eastAsia="宋体" w:cs="Times New Roman"/>
          <w:color w:val="000000"/>
        </w:rPr>
        <w:t>4.具备并提供以标准IPSec协议构建业务隧道</w:t>
      </w:r>
    </w:p>
    <w:p w14:paraId="49A0EB78">
      <w:pPr>
        <w:pStyle w:val="2"/>
        <w:spacing w:line="360" w:lineRule="auto"/>
        <w:rPr>
          <w:rFonts w:hint="eastAsia" w:hAnsi="宋体" w:eastAsia="宋体" w:cs="Times New Roman"/>
          <w:color w:val="000000"/>
        </w:rPr>
      </w:pPr>
      <w:r>
        <w:rPr>
          <w:rFonts w:hint="eastAsia" w:hAnsi="宋体" w:eastAsia="宋体" w:cs="Times New Roman"/>
          <w:color w:val="000000"/>
        </w:rPr>
        <w:t>5.▲高品质 SD-WAN:快速的 ZTP 开局方式、全场景组网架构、基于应用质量的智能选路、广域优化、极致业务体验。</w:t>
      </w:r>
    </w:p>
    <w:p w14:paraId="6FA510BE">
      <w:pPr>
        <w:pStyle w:val="2"/>
        <w:spacing w:line="360" w:lineRule="auto"/>
        <w:rPr>
          <w:rFonts w:hint="eastAsia" w:hAnsi="宋体" w:eastAsia="宋体" w:cs="Times New Roman"/>
          <w:color w:val="000000"/>
        </w:rPr>
      </w:pPr>
      <w:r>
        <w:rPr>
          <w:rFonts w:hint="eastAsia" w:hAnsi="宋体" w:eastAsia="宋体" w:cs="Times New Roman"/>
          <w:color w:val="000000"/>
        </w:rPr>
        <w:t>6.智能AI:带宽规划、网络编排、策略推荐、随流分析、故障自动定位。</w:t>
      </w:r>
    </w:p>
    <w:p w14:paraId="25FBB6FE">
      <w:pPr>
        <w:pStyle w:val="2"/>
        <w:spacing w:line="360" w:lineRule="auto"/>
        <w:rPr>
          <w:rFonts w:hint="eastAsia" w:hAnsi="宋体" w:eastAsia="宋体" w:cs="Times New Roman"/>
          <w:color w:val="000000"/>
        </w:rPr>
      </w:pPr>
      <w:r>
        <w:rPr>
          <w:rFonts w:hint="eastAsia" w:hAnsi="宋体" w:eastAsia="宋体" w:cs="Times New Roman"/>
          <w:color w:val="000000"/>
        </w:rPr>
        <w:t>7.可靠性:电信级硬件可靠、网络级高可靠、业务故障快速恢复、支持热插拔。</w:t>
      </w:r>
    </w:p>
    <w:p w14:paraId="6278DA41">
      <w:pPr>
        <w:pStyle w:val="2"/>
        <w:spacing w:line="360" w:lineRule="auto"/>
        <w:rPr>
          <w:rFonts w:hint="eastAsia" w:hAnsi="宋体" w:eastAsia="宋体" w:cs="Times New Roman"/>
          <w:color w:val="000000"/>
        </w:rPr>
      </w:pPr>
      <w:r>
        <w:rPr>
          <w:rFonts w:hint="eastAsia" w:hAnsi="宋体" w:eastAsia="宋体" w:cs="Times New Roman"/>
          <w:color w:val="000000"/>
        </w:rPr>
        <w:t>8.满足国家密码应用技术要求。</w:t>
      </w:r>
    </w:p>
    <w:p w14:paraId="1FB7802D">
      <w:pPr>
        <w:pStyle w:val="2"/>
        <w:spacing w:line="360" w:lineRule="auto"/>
        <w:rPr>
          <w:rFonts w:hAnsi="宋体" w:eastAsia="宋体" w:cs="Times New Roman"/>
          <w:color w:val="000000"/>
        </w:rPr>
      </w:pPr>
      <w:r>
        <w:rPr>
          <w:rFonts w:hAnsi="宋体" w:eastAsia="宋体" w:cs="Times New Roman"/>
          <w:color w:val="000000"/>
        </w:rPr>
        <w:t>9.</w:t>
      </w:r>
      <w:r>
        <w:rPr>
          <w:rFonts w:hint="eastAsia" w:hAnsi="宋体" w:eastAsia="宋体" w:cs="Times New Roman"/>
          <w:color w:val="000000"/>
        </w:rPr>
        <w:t>▲满足接入广西全民健康信息平台的相关技术框架，可承载平台网络负载和加密的要求。</w:t>
      </w:r>
    </w:p>
    <w:p w14:paraId="0FF260C4">
      <w:pPr>
        <w:pStyle w:val="2"/>
        <w:spacing w:line="360" w:lineRule="auto"/>
        <w:rPr>
          <w:rFonts w:hint="eastAsia" w:ascii="黑体" w:hAnsi="黑体" w:eastAsia="黑体" w:cs="Times New Roman"/>
          <w:b/>
          <w:color w:val="000000"/>
          <w:sz w:val="22"/>
          <w:szCs w:val="22"/>
        </w:rPr>
      </w:pPr>
    </w:p>
    <w:p w14:paraId="22796172">
      <w:pPr>
        <w:pStyle w:val="2"/>
        <w:spacing w:line="360" w:lineRule="auto"/>
        <w:rPr>
          <w:rFonts w:ascii="黑体" w:hAnsi="黑体" w:eastAsia="黑体" w:cs="Times New Roman"/>
          <w:b/>
          <w:color w:val="000000"/>
          <w:sz w:val="22"/>
          <w:szCs w:val="22"/>
        </w:rPr>
      </w:pPr>
      <w:r>
        <w:rPr>
          <w:rFonts w:hint="eastAsia" w:ascii="黑体" w:hAnsi="黑体" w:eastAsia="黑体" w:cs="Times New Roman"/>
          <w:b/>
          <w:color w:val="000000"/>
          <w:sz w:val="22"/>
          <w:szCs w:val="22"/>
        </w:rPr>
        <w:t>三、商务要求</w:t>
      </w:r>
    </w:p>
    <w:p w14:paraId="6DC0C910">
      <w:pPr>
        <w:pStyle w:val="2"/>
        <w:spacing w:line="360" w:lineRule="auto"/>
        <w:rPr>
          <w:rFonts w:hint="eastAsia" w:hAnsi="宋体" w:eastAsia="宋体" w:cs="Times New Roman"/>
          <w:color w:val="000000"/>
        </w:rPr>
      </w:pPr>
      <w:r>
        <w:rPr>
          <w:rFonts w:hint="eastAsia" w:hAnsi="宋体" w:eastAsia="宋体" w:cs="Times New Roman"/>
          <w:color w:val="000000"/>
        </w:rPr>
        <w:t>1.</w:t>
      </w:r>
      <w:r>
        <w:rPr>
          <w:rFonts w:hint="eastAsia" w:hAnsi="宋体" w:eastAsia="宋体" w:cs="Times New Roman"/>
          <w:color w:val="000000"/>
        </w:rPr>
        <w:tab/>
      </w:r>
      <w:r>
        <w:rPr>
          <w:rFonts w:hint="eastAsia" w:hAnsi="宋体" w:eastAsia="宋体" w:cs="Times New Roman"/>
          <w:color w:val="000000"/>
        </w:rPr>
        <w:t>提供主流品牌的全新货品，禁止提供水货、套货、换货、二手、囤积品或非本区域销售的产品。</w:t>
      </w:r>
    </w:p>
    <w:p w14:paraId="1ECAAFFE">
      <w:pPr>
        <w:pStyle w:val="2"/>
        <w:spacing w:line="360" w:lineRule="auto"/>
        <w:rPr>
          <w:rFonts w:hint="eastAsia" w:hAnsi="宋体" w:eastAsia="宋体" w:cs="Times New Roman"/>
          <w:color w:val="000000"/>
        </w:rPr>
      </w:pPr>
      <w:r>
        <w:rPr>
          <w:rFonts w:hint="eastAsia" w:hAnsi="宋体" w:eastAsia="宋体" w:cs="Times New Roman"/>
          <w:color w:val="000000"/>
        </w:rPr>
        <w:t>2.</w:t>
      </w:r>
      <w:r>
        <w:rPr>
          <w:rFonts w:hint="eastAsia" w:hAnsi="宋体" w:eastAsia="宋体" w:cs="Times New Roman"/>
          <w:color w:val="000000"/>
        </w:rPr>
        <w:tab/>
      </w:r>
      <w:r>
        <w:rPr>
          <w:rFonts w:hint="eastAsia" w:hAnsi="宋体" w:eastAsia="宋体" w:cs="Times New Roman"/>
          <w:color w:val="000000"/>
        </w:rPr>
        <w:t>本项目所有的设备提供至少3年质保时间，对所有零部件提供质保，对所有固件提供升级维护服务。</w:t>
      </w:r>
    </w:p>
    <w:p w14:paraId="0FD4AF7E">
      <w:pPr>
        <w:pStyle w:val="2"/>
        <w:spacing w:line="360" w:lineRule="auto"/>
        <w:rPr>
          <w:rFonts w:hint="eastAsia" w:hAnsi="宋体" w:eastAsia="宋体" w:cs="Times New Roman"/>
          <w:color w:val="000000"/>
        </w:rPr>
      </w:pPr>
      <w:r>
        <w:rPr>
          <w:rFonts w:hint="eastAsia" w:hAnsi="宋体" w:eastAsia="宋体" w:cs="Times New Roman"/>
          <w:color w:val="000000"/>
        </w:rPr>
        <w:t>3.</w:t>
      </w:r>
      <w:r>
        <w:rPr>
          <w:rFonts w:hint="eastAsia" w:hAnsi="宋体" w:eastAsia="宋体" w:cs="Times New Roman"/>
          <w:color w:val="000000"/>
        </w:rPr>
        <w:tab/>
      </w:r>
      <w:r>
        <w:rPr>
          <w:rFonts w:hint="eastAsia" w:hAnsi="宋体" w:eastAsia="宋体" w:cs="Times New Roman"/>
          <w:color w:val="000000"/>
        </w:rPr>
        <w:t>供货商在南宁本地有服务维保团队可上门，提供上门安装和实施服务、更换、维护、维修和换新服务，不收服务费。如出现故障在接到报告4小时内上门处理故障，无需复杂的拍照上传过程，无论故障类型不得收上门费。</w:t>
      </w:r>
    </w:p>
    <w:p w14:paraId="603DFA12">
      <w:pPr>
        <w:pStyle w:val="2"/>
        <w:spacing w:line="360" w:lineRule="auto"/>
        <w:rPr>
          <w:rFonts w:hint="eastAsia" w:hAnsi="宋体" w:eastAsia="宋体" w:cs="Times New Roman"/>
          <w:color w:val="000000"/>
        </w:rPr>
      </w:pPr>
      <w:r>
        <w:rPr>
          <w:rFonts w:hint="eastAsia" w:hAnsi="宋体" w:eastAsia="宋体" w:cs="Times New Roman"/>
          <w:color w:val="000000"/>
        </w:rPr>
        <w:t>4.</w:t>
      </w:r>
      <w:r>
        <w:rPr>
          <w:rFonts w:hint="eastAsia" w:hAnsi="宋体" w:eastAsia="宋体" w:cs="Times New Roman"/>
          <w:color w:val="000000"/>
        </w:rPr>
        <w:tab/>
      </w:r>
      <w:r>
        <w:rPr>
          <w:rFonts w:hint="eastAsia" w:hAnsi="宋体" w:eastAsia="宋体" w:cs="Times New Roman"/>
          <w:color w:val="000000"/>
        </w:rPr>
        <w:t>供货商固定专人与院方对接，该人员负责与院方和品牌方沟通，确保维保服务可达，无需复杂的400处理流程。</w:t>
      </w:r>
    </w:p>
    <w:p w14:paraId="55130D12">
      <w:pPr>
        <w:rPr>
          <w:rFonts w:hint="eastAsia" w:hAnsi="宋体"/>
          <w:color w:val="000000"/>
        </w:rPr>
      </w:pPr>
      <w:r>
        <w:rPr>
          <w:rFonts w:hint="eastAsia" w:hAnsi="宋体" w:eastAsia="宋体" w:cs="Times New Roman"/>
          <w:color w:val="000000"/>
        </w:rPr>
        <w:t>5.</w:t>
      </w:r>
      <w:r>
        <w:rPr>
          <w:rFonts w:hint="eastAsia" w:hAnsi="宋体" w:eastAsia="宋体" w:cs="Times New Roman"/>
          <w:color w:val="000000"/>
        </w:rPr>
        <w:tab/>
      </w:r>
      <w:r>
        <w:rPr>
          <w:rFonts w:hint="eastAsia" w:hAnsi="宋体" w:eastAsia="宋体" w:cs="Times New Roman"/>
          <w:color w:val="000000"/>
        </w:rPr>
        <w:t>安排技术人员进行技术培训，具体培训时间、地点以用户认可为准，提供有关设备安装、操作、维护和基本排障，以及配套功能特性的使用的文档和培训。</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BF1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uiPriority w:val="0"/>
    <w:pPr>
      <w:widowControl w:val="0"/>
      <w:jc w:val="both"/>
    </w:pPr>
    <w:rPr>
      <w:rFonts w:ascii="宋体" w:hAnsi="Courier New"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2025-02-19T03:39:57Z</dcterms:created>
  <dc:creator>招标办</dc:creator>
  <cp:lastModifiedBy>17</cp:lastModifiedBy>
  <dcterms:modified xsi:type="dcterms:W3CDTF">2025-02-19T03:40:26Z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eyJoZGlkIjoiZjliMDk4ZDdlOTVmN2Q1OTFiYjYzYWFiODA4NmE4YTUiLCJ1c2VySWQiOiIzMzEwMzI4MjYifQ==</vt:lpwstr>
  </property>
  <property fmtid="{D5CDD505-2E9C-101B-9397-08002B2CF9AE}" pid="4" name="ICV">
    <vt:lpwstr>8383CC7081E84D39B6CF82CB0BD3BE8F_12</vt:lpwstr>
  </property>
</Properties>
</file>